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RSAV — Ermittlung der Höhe der Grundpauschale</w:t>
      </w:r>
    </w:p>
    <w:p>
      <w:r>
        <w:rPr>
          <w:color w:val="555555"/>
          <w:sz w:val="18"/>
        </w:rPr>
        <w:t xml:space="preserve">Risikostruktur-Ausgleichsverordnung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Die Grundlage für die Ermittlung der Grundpauschale bilden die voraussichtlichen standardisierten Leistungsausgaben der Krankenkassen nach § 266 Absatz 3 des Fünften Buches Sozialgesetzbuch. Die Ausgaben sind durch die voraussichtliche Summe der Versicherten aller Krankenkassen zu teilen.</w:t>
      </w:r>
    </w:p>
    <w:p>
      <w:r>
        <w:t xml:space="preserve">(2) Das Bundesamt für Soziale Sicherung stellt im Voraus die Grundpauschale für ein Ausgleichsjahr auf der Grundlage der für die Festlegung des durchschnittlichen Zusatzbeitrags nach § 242a des Fünften Buches Sozialgesetzbuch maßgeblichen Werte fest.</w:t>
      </w:r>
    </w:p>
    <w:p>
      <w:r>
        <w:t xml:space="preserve">(3) Die Bekanntmachung der vom Bundesamt für Soziale Sicherung für das Folgejahr ermittelten Grundpauschale sowie der Werte nach § 266 Absatz 6 Satz 2 des Fünften Buches Sozialgesetzbuch erfolgt jährlich bis zum 15. November.</w:t>
      </w:r>
    </w:p>
    <w:p>
      <w:r>
        <w:rPr>
          <w:color w:val="555555"/>
          <w:sz w:val="17"/>
        </w:rPr>
        <w:t xml:space="preserve">Zitiervorschlag: § 12 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https://recht.nulegal.eu/gesetze/RSAV/12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