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RSAV — Zuweisungen für das Krankengeld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07.08.2021 (konsolidierte Textfassung, kein amtliches Inkrafttretensdatum)</w:t>
      </w:r>
    </w:p>
    <w:p>
      <w:r>
        <w:t xml:space="preserve">Für die Zuweisungen für die Risikogruppen nach § 2 Absatz 1 Satz 2 Nummer 3 gelten die §§ 5 bis 7 und 10 in der am 31. März 2020 geltenden Fassung weiter.</w:t>
      </w:r>
    </w:p>
    <w:p>
      <w:r>
        <w:rPr>
          <w:color w:val="555555"/>
          <w:sz w:val="17"/>
        </w:rPr>
        <w:t xml:space="preserve">Zitiervorschlag: § 11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