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RSAV — Begriffsbestimmungen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Versicherte im Sinne dieser Verordnung sind alle versicherungspflichtigen und versicherungsberechtigten Mitglieder und Familienversicherten.</w:t>
      </w:r>
    </w:p>
    <w:p>
      <w:r>
        <w:t xml:space="preserve">(2) Mitglieder im Sinne dieser Verordnung sind alle nach § 5 des Fünften Buches Sozialgesetzbuch, nach Artikel 56 des Gesundheits-Reformgesetzes und nach Artikel 33 § 14 des Gesundheitsstrukturgesetzes versicherungspflichtig oder nach § 9 des Fünften Buches Sozialgesetzbuch freiwillig versicherten Personen.</w:t>
      </w:r>
    </w:p>
    <w:p>
      <w:r>
        <w:t xml:space="preserve">(3) Krankenkassen im Sinne dieser Verordnung sind die Orts-, Betriebs- und Innungskrankenkassen, die Deutsche Rentenversicherung Knappschaft-Bahn-See als Träger der knappschaftlichen Krankenversicherung und die Ersatzkassen.</w:t>
      </w:r>
    </w:p>
    <w:p>
      <w:r>
        <w:t xml:space="preserve">(4) (weggefallen)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