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RRG</w:t>
      </w:r>
    </w:p>
    <w:p>
      <w:r>
        <w:rPr>
          <w:color w:val="555555"/>
          <w:sz w:val="18"/>
        </w:rPr>
        <w:t xml:space="preserve">Rentenreformgesetz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tritt, vorbehaltlich des Absatzes 2, am 1. Januar 1973 in Kraft.</w:t>
      </w:r>
    </w:p>
    <w:p>
      <w:r>
        <w:t xml:space="preserve">(2) Es treten in Kraft ... ...</w:t>
      </w:r>
    </w:p>
    <w:p>
      <w:pPr>
        <w:ind w:left="420"/>
      </w:pPr>
      <w:r>
        <w:t xml:space="preserve">am Tage nach der Verkündung ...Artikel 5 §§ 1 bis 14 und § 16Artikel 6 § 4 und § 6...Artikel 4 § 4 Nr. 4</w:t>
      </w:r>
    </w:p>
    <w:p>
      <w:pPr>
        <w:ind w:left="420"/>
      </w:pPr>
      <w:r>
        <w:t xml:space="preserve">am 1. Januar 1974 ...Artikel 6 § 3.</w:t>
      </w:r>
    </w:p>
    <w:p>
      <w:r>
        <w:rPr>
          <w:color w:val="555555"/>
          <w:sz w:val="17"/>
        </w:rPr>
        <w:t xml:space="preserve">Zitiervorschlag: § 8 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