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RPrGV (Bayern) — Gebührenpflicht</w:t>
      </w:r>
    </w:p>
    <w:p>
      <w:r>
        <w:rPr>
          <w:color w:val="555555"/>
          <w:sz w:val="18"/>
        </w:rPr>
        <w:t xml:space="preserve">Rechnungsprüfungsstellen-Gebührenverordnung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Prüfung von Jahresrechnungen und Kassen sowie für die Erstellung von Gutachten durch die staatlichen Rechnungsprüfungsstellen der Landratsämter sind Benutzungsgebühren zu entrichten.</w:t>
      </w:r>
    </w:p>
    <w:p>
      <w:r>
        <w:t xml:space="preserve">(2) Benutzungsgebühren und Auslagen sind nicht zu entrichten für Prüfungen und Gutachten außerhalb des überörtlichen Prüfungswesens.</w:t>
      </w:r>
    </w:p>
    <w:p>
      <w:r>
        <w:rPr>
          <w:color w:val="555555"/>
          <w:sz w:val="17"/>
        </w:rPr>
        <w:t xml:space="preserve">Zitiervorschlag: § 1 RPrGV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https://recht.nulegal.eu/gesetze/RPrGV/1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