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36b RPflG 1969 — Übertragung von Rechtspflegeraufgaben auf den Urkundsbeamten der Geschäftsstelle</w:t>
      </w:r>
    </w:p>
    <w:p>
      <w:r>
        <w:rPr>
          <w:color w:val="555555"/>
          <w:sz w:val="18"/>
        </w:rPr>
        <w:t xml:space="preserve">Rechtspflegergesetz</w:t>
      </w:r>
    </w:p>
    <w:p>
      <w:r>
        <w:rPr>
          <w:color w:val="555555"/>
          <w:sz w:val="18"/>
        </w:rPr>
        <w:t xml:space="preserve">Stand: 01.08.2022 (konsolidierte Textfassung, kein amtliches Inkrafttretensdatum)</w:t>
      </w:r>
    </w:p>
    <w:p>
      <w:r>
        <w:t xml:space="preserve">(1) Die Landesregierungen werden ermächtigt, durch Rechtsverordnung folgende nach diesem Gesetz vom Rechtspfleger wahrzunehmende Geschäfte ganz oder teilweise dem Urkundsbeamten der Geschäftsstelle zu übertragen:</w:t>
      </w:r>
    </w:p>
    <w:p>
      <w:pPr>
        <w:ind w:left="420"/>
      </w:pPr>
      <w:r>
        <w:t xml:space="preserve">1. die Geschäfte bei der Annahme von Testamenten und Erbverträgen zur amtlichen Verwahrung nach den §§ 346, 347 des Gesetzes über das Verfahren in Familiensachen und in den Angelegenheiten der freiwilligen Gerichtsbarkeit (§ 3 Nummer 2 Buchstabe c);</w:t>
      </w:r>
    </w:p>
    <w:p>
      <w:pPr>
        <w:ind w:left="420"/>
      </w:pPr>
      <w:r>
        <w:t xml:space="preserve">2. das Mahnverfahren im Sinne des Siebenten Buchs der Zivilprozessordnung einschließlich der Bestimmung der Einspruchsfrist nach § 700 Absatz 1 in Verbindung mit § 339 Absatz 2 und 3 der Zivilprozessordnung sowie der Abgabe an das für das streitige Verfahren als zuständig bezeichnete Gericht, auch soweit das Mahnverfahren maschinell bearbeitet wird (§ 20 Absatz 1 Nummer 1);</w:t>
      </w:r>
    </w:p>
    <w:p>
      <w:pPr>
        <w:ind w:left="420"/>
      </w:pPr>
      <w:r>
        <w:t xml:space="preserve">3. die Erteilung einer weiteren vollstreckbaren Ausfertigung in den Fällen des § 733 der Zivilprozessordnung (§ 20 Absatz 1 Nummer 12);</w:t>
      </w:r>
    </w:p>
    <w:p>
      <w:pPr>
        <w:ind w:left="420"/>
      </w:pPr>
      <w:r>
        <w:t xml:space="preserve">4. die Erteilung von weiteren vollstreckbaren Ausfertigungen gerichtlicher Urkunden nach § 797 Absatz 2 Nummer 1 der Zivilprozessordnung (§ 20 Absatz 1 Nummer 13);</w:t>
      </w:r>
    </w:p>
    <w:p>
      <w:pPr>
        <w:ind w:left="420"/>
      </w:pPr>
      <w:r>
        <w:t xml:space="preserve">5. die der Staatsanwaltschaft als Vollstreckungsbehörde in Straf- und Bußgeldsachen obliegenden Geschäfte bei der Vollstreckung von Geldstrafen und Geldbußen (§ 31 Absatz 2); hierzu gehört nicht die Vollstreckung von Ersatzfreiheitsstrafen.</w:t>
      </w:r>
    </w:p>
    <w:p>
      <w:r>
        <w:t xml:space="preserve">Die Landesregierungen können die Ermächtigung auf die Landesjustizverwaltungen übertragen.</w:t>
      </w:r>
    </w:p>
    <w:p>
      <w:r>
        <w:t xml:space="preserve">(2) Der Urkundsbeamte der Geschäftsstelle trifft alle Maßnahmen, die zur Erledigung der ihm übertragenen Geschäfte erforderlich sind. Die Vorschriften über die Vorlage einzelner Geschäfte durch den Rechtspfleger an den Richter oder Staatsanwalt (§§ 5, 28, 31 Absatz 2a und 2b) gelten entsprechend.</w:t>
      </w:r>
    </w:p>
    <w:p>
      <w:r>
        <w:t xml:space="preserve">(3) Bei der Wahrnehmung von Geschäften nach Absatz 1 Satz 1 Nummer 2 kann in den Fällen der §§ 694, 696 Absatz 1, § 700 Absatz 3 der Zivilprozessordnung eine Entscheidung des Prozessgerichts zur Änderung einer Entscheidung des Urkundsbeamten der Geschäftsstelle (§ 573 der Zivilprozessordnung) nicht nachgesucht werden.</w:t>
      </w:r>
    </w:p>
    <w:p>
      <w:r>
        <w:t xml:space="preserve">(4) Bei der Wahrnehmung von Geschäften nach Absatz 1 Satz 1 Nummer 5 entscheidet über Einwendungen gegen Maßnahmen des Urkundsbeamten der Geschäftsstelle der Rechtspfleger, an dessen Stelle der Urkundsbeamte tätig geworden ist. Er kann dem Urkundsbeamten Weisungen erteilen. Die Befugnisse des Behördenleiters aus den §§ 145, 146 des Gerichtsverfassungsgesetzes bleiben unberührt.</w:t>
      </w:r>
    </w:p>
    <w:p>
      <w:r>
        <w:rPr>
          <w:color w:val="555555"/>
          <w:sz w:val="17"/>
        </w:rPr>
        <w:t xml:space="preserve">Zitiervorschlag: § 36b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https://recht.nulegal.eu/gesetze/RPflG%201969/36b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36b RPflG 1969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