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RPflG 1969 — Vorbehalt für die Freie und Hansestadt Hamburg</w:t>
      </w:r>
    </w:p>
    <w:p>
      <w:r>
        <w:rPr>
          <w:color w:val="555555"/>
          <w:sz w:val="18"/>
        </w:rPr>
        <w:t xml:space="preserve">Rechtspflegergesetz</w:t>
      </w:r>
    </w:p>
    <w:p>
      <w:r>
        <w:rPr>
          <w:color w:val="555555"/>
          <w:sz w:val="18"/>
        </w:rPr>
        <w:t xml:space="preserve">Stand: 10.06.2019 (konsolidierte Textfassung, kein amtliches Inkrafttretensdatum)</w:t>
      </w:r>
    </w:p>
    <w:p>
      <w:r>
        <w:t xml:space="preserve">In der Freien und Hansestadt Hamburg gilt § 24 Absatz 2 mit der Maßgabe, dass der Rechtspfleger die dort bezeichneten Anträge und Erklärungen nur dann aufnehmen soll, wenn dies wegen des Zusammenhangs mit einem von ihm wahrzunehmenden Geschäft, wegen rechtlicher Schwierigkeiten oder aus sonstigen Gründen geboten ist.</w:t>
      </w:r>
    </w:p>
    <w:p>
      <w:r>
        <w:rPr>
          <w:color w:val="555555"/>
          <w:sz w:val="17"/>
        </w:rPr>
        <w:t xml:space="preserve">Zitiervorschlag: § 36a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https://recht.nulegal.eu/gesetze/RPflG%201969/36a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