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35a RPflG 1969 — Ratschreiber und Beschlussfertiger in Baden-Württemberg</w:t>
      </w:r>
    </w:p>
    <w:p>
      <w:r>
        <w:rPr>
          <w:color w:val="555555"/>
          <w:sz w:val="18"/>
        </w:rPr>
        <w:t xml:space="preserve">Rechtspflegergesetz</w:t>
      </w:r>
    </w:p>
    <w:p>
      <w:r>
        <w:rPr>
          <w:color w:val="555555"/>
          <w:sz w:val="18"/>
        </w:rPr>
        <w:t xml:space="preserve">Stand: 10.06.2019 (konsolidierte Textfassung, kein amtliches Inkrafttretensdatum)</w:t>
      </w:r>
    </w:p>
    <w:p>
      <w:r>
        <w:t xml:space="preserve">(1) Ratschreiber mit Befähigung zum gehobenen Verwaltungs- oder Justizdienst, die bis 31. Dezember 2017 das Amt im Sinne des § 32 des Landesgesetzes über die freiwillige Gerichtsbarkeit mindestens drei Jahre nicht nur zeitweilig ausgeübt haben, dürfen als Beamte im Landesdienst die Aufgaben eines Rechtspflegers in Grundbuchsachen wahrnehmen. Das Land stellt die fachliche Qualifikation durch geeignete Fortbildungsmaßnahmen sicher.</w:t>
      </w:r>
    </w:p>
    <w:p>
      <w:r>
        <w:t xml:space="preserve">(2) Beamte des mittleren Dienstes, die seit mindestens fünf Jahren im Justizdienst beschäftigt sind und die vor dem 1. Januar 2018 überwiegend als Beschlussfertiger in Grundbuchämtern tätig waren, dürfen als Beamte im Landesdienst die Aufgaben eines Rechtspflegers in Grundbuchsachen wahrnehmen. Vor Wahrnehmung der Rechtspflegeraufgaben haben diese Beamten an für sie bestimmten Lehrgängen einer Fachhochschule erfolgreich teilzunehmen, die insgesamt mindestens acht Monate dauern und die wissenschaftlichen Erkenntnisse und Methoden sowie die berufspraktischen Fähigkeiten und Kenntnisse, die zur Erfüllung der Aufgaben eines Rechtspflegers in Grundbuchsachen erforderlich sind, vermitteln.</w:t>
      </w:r>
    </w:p>
    <w:p>
      <w:r>
        <w:t xml:space="preserve">(3) Das Nähere regelt das Landesrecht.</w:t>
      </w:r>
    </w:p>
    <w:p>
      <w:r>
        <w:rPr>
          <w:color w:val="555555"/>
          <w:sz w:val="17"/>
        </w:rPr>
        <w:t xml:space="preserve">Zitiervorschlag: § 35a RPflG 1969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https://recht.nulegal.eu/gesetze/RPflG%201969/35a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