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RPflG 1969 — Geschäfte im internationalen Rechtsverkehr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Rechtspfleger werden folgende Aufgaben übertragen:</w:t>
      </w:r>
    </w:p>
    <w:p>
      <w:pPr>
        <w:ind w:left="420"/>
      </w:pPr>
      <w:r>
        <w:t xml:space="preserve">1. die der Geschäftsstelle des Amtsgerichts gesetzlich zugewiesene Ausführung ausländischer Zustellungsanträge;</w:t>
      </w:r>
    </w:p>
    <w:p>
      <w:pPr>
        <w:ind w:left="420"/>
      </w:pPr>
      <w:r>
        <w:t xml:space="preserve">2. die Entgegennahme von Anträgen auf Unterstützung in Unterhaltssachen nach § 7 des Auslandsunterhaltsgesetzes vom 23. Mai 2011 (BGBl. I S. 898) sowie die Entscheidung über Anträge nach § 10 Absatz 3 des Auslandsunterhaltsgesetzes;</w:t>
      </w:r>
    </w:p>
    <w:p>
      <w:pPr>
        <w:ind w:left="420"/>
      </w:pPr>
      <w:r>
        <w:t xml:space="preserve">3. die Entgegennahme von Anträgen nach § 42 Absatz 1 und die Entscheidung über Anträge nach § 5 Absatz 2 des Internationalen Familienrechtsverfahrensgesetzes vom 26. Januar 2005 (BGBl. I S. 162).</w:t>
      </w:r>
    </w:p>
    <w:p>
      <w:r>
        <w:rPr>
          <w:color w:val="555555"/>
          <w:sz w:val="17"/>
        </w:rPr>
        <w:t xml:space="preserve">Zitiervorschlag: § 29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