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RPflG 1969 — Sonstige Geschäfte auf dem Gebiet der Familiensachen</w:t>
      </w:r>
    </w:p>
    <w:p>
      <w:r>
        <w:rPr>
          <w:color w:val="555555"/>
          <w:sz w:val="18"/>
        </w:rPr>
        <w:t xml:space="preserve">Rechtspflegergesetz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Folgende weitere Geschäfte in Familiensachen einschließlich der entsprechenden Lebenspartnerschaftssachen werden dem Rechtspfleger übertragen: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in Unterhaltssachen</w:t>
      </w:r>
    </w:p>
    <w:p>
      <w:pPr>
        <w:ind w:left="780"/>
      </w:pPr>
      <w:r>
        <w:t xml:space="preserve">a) Verfahren nach § 231 Abs. 2 des Gesetzes über das Verfahren in Familiensachen und in den Angelegenheiten der freiwilligen Gerichtsbarkeit, soweit nicht ein Verfahren nach § 231 Abs. 1 des Gesetzes über das Verfahren in Familiensachen und in den Angelegenheiten der freiwilligen Gerichtsbarkeit anhängig ist,</w:t>
      </w:r>
    </w:p>
    <w:p>
      <w:pPr>
        <w:ind w:left="780"/>
      </w:pPr>
      <w:r>
        <w:t xml:space="preserve">b) die Bezifferung eines Unterhaltstitels nach § 245 des Gesetzes über das Verfahren in Familiensachen und in den Angelegenheiten der freiwilligen Gerichtsbarkeit,</w:t>
      </w:r>
    </w:p>
    <w:p>
      <w:pPr>
        <w:ind w:left="780"/>
      </w:pPr>
      <w:r>
        <w:t xml:space="preserve">c) das vereinfachte Verfahren über den Unterhalt Minderjähriger;</w:t>
      </w:r>
    </w:p>
    <w:p>
      <w:pPr>
        <w:ind w:left="420"/>
      </w:pPr>
      <w:r>
        <w:t xml:space="preserve">3. in Güterrechtssachen</w:t>
      </w:r>
    </w:p>
    <w:p>
      <w:pPr>
        <w:ind w:left="780"/>
      </w:pPr>
      <w:r>
        <w:t xml:space="preserve">a) die Ersetzung der Zustimmung eines Ehegatten, Lebenspartners oder Abkömmlings nach § 1452 des Bürgerlichen Gesetzbuchs,</w:t>
      </w:r>
    </w:p>
    <w:p>
      <w:pPr>
        <w:ind w:left="780"/>
      </w:pPr>
      <w:r>
        <w:t xml:space="preserve">b) die Entscheidung über die Stundung einer Ausgleichsforderung und Übertragung von Vermögensgegenständen nach den §§ 1382 und 1383 des Bürgerlichen Gesetzbuchs, jeweils auch in Verbindung mit § 6 Satz 2 des Lebenspartnerschaftsgesetzes, mit Ausnahme der Entscheidung im Fall des § 1382 Abs. 5 und des § 1383 Abs. 3 des Bürgerlichen Gesetzbuchs, jeweils auch in Verbindung mit § 6 Satz 2 des Lebenspartnerschaftsgesetzes,</w:t>
      </w:r>
    </w:p>
    <w:p>
      <w:pPr>
        <w:ind w:left="780"/>
      </w:pPr>
      <w:r>
        <w:t xml:space="preserve">c) die Entscheidung über die Stundung einer Ausgleichsforderung und Übertragung von Vermögensgegenständen nach § 1519 des Bürgerlichen Gesetzbuchs in Verbindung mit Artikel 12 Absatz 2 Satz 2 und Artikel 17 des Abkommens vom 4. Februar 2010 zwischen der Bundesrepublik Deutschland und der Französischen Republik über den Güterstand der Wahl-Zugewinngemeinschaft, jeweils auch in Verbindung mit § 7 des Lebenspartnerschaftsgesetzes, soweit nicht über die Ausgleichsforderung ein Rechtsstreit anhängig wird;</w:t>
      </w:r>
    </w:p>
    <w:p>
      <w:pPr>
        <w:ind w:left="420"/>
      </w:pPr>
      <w:r>
        <w:t xml:space="preserve">4. in Verfahren nach dem EU-Gewaltschutzverfahrensgesetz vom 5. Dezember 2014 (BGBl. I S. 1964) die Ausstellung von Bescheinigungen nach Artikel 5 Absatz 1 und Artikel 14 Absatz 1 der Verordnung (EU) Nr. 606/2013 des Europäischen Parlaments und des Rates vom 12. Juni 2013 über die gegenseitige Anerkennung von Schutzmaßnahmen in Zivilsachen (ABl. L 181 vom 29.6.2013, S. 4) sowie deren Berichtigung und Aufhebung gemäß Artikel 9 Absatz 1 der Verordnung (EU) Nr. 606/2013.</w:t>
      </w:r>
    </w:p>
    <w:p>
      <w:r>
        <w:rPr>
          <w:color w:val="555555"/>
          <w:sz w:val="17"/>
        </w:rPr>
        <w:t xml:space="preserve">Zitiervorschlag: § 25 RPflG 1969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https://recht.nulegal.eu/gesetze/RPflG%201969/25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