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24a RPflG 1969 — Beratungshilfe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Geschäfte werden dem Rechtspfleger übertragen:</w:t>
      </w:r>
    </w:p>
    <w:p>
      <w:pPr>
        <w:ind w:left="420"/>
      </w:pPr>
      <w:r>
        <w:t xml:space="preserve">1. die Entscheidung über Anträge auf Gewährung und Aufhebung von Beratungshilfe einschließlich der grenzüberschreitenden Beratungshilfe nach § 10 Abs. 4 des Beratungshilfegesetzes;</w:t>
      </w:r>
    </w:p>
    <w:p>
      <w:pPr>
        <w:ind w:left="420"/>
      </w:pPr>
      <w:r>
        <w:t xml:space="preserve">2. die dem Amtsgericht nach § 3 Abs. 2 des Beratungshilfegesetzes zugewiesenen Geschäfte.</w:t>
      </w:r>
    </w:p>
    <w:p>
      <w:r>
        <w:t xml:space="preserve">(2) § 11 Absatz 2 Satz 1 bis 4 und Absatz 3 ist nicht anzuwenden.</w:t>
      </w:r>
    </w:p>
    <w:p>
      <w:r>
        <w:rPr>
          <w:color w:val="555555"/>
          <w:sz w:val="17"/>
        </w:rPr>
        <w:t xml:space="preserve">Zitiervorschlag: § 24a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https://recht.nulegal.eu/gesetze/RPflG%201969/24a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