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RPflG 1969 — Verfahren vor dem Bundespatentgericht</w:t>
      </w:r>
    </w:p>
    <w:p>
      <w:r>
        <w:rPr>
          <w:color w:val="555555"/>
          <w:sz w:val="18"/>
        </w:rPr>
        <w:t xml:space="preserve">Rechtspflegergesetz</w:t>
      </w:r>
    </w:p>
    <w:p>
      <w:r>
        <w:rPr>
          <w:color w:val="555555"/>
          <w:sz w:val="18"/>
        </w:rPr>
        <w:t xml:space="preserve">Stand: 01.08.2022 (konsolidierte Textfassung, kein amtliches Inkrafttretensdatum)</w:t>
      </w:r>
    </w:p>
    <w:p>
      <w:r>
        <w:t xml:space="preserve">(1) Im Verfahren vor dem Bundespatentgericht werden dem Rechtspfleger die folgenden Geschäfte übertragen:</w:t>
      </w:r>
    </w:p>
    <w:p>
      <w:pPr>
        <w:ind w:left="420"/>
      </w:pPr>
      <w:r>
        <w:t xml:space="preserve">1. die nach den §§ 109, 715 der Zivilprozessordnung in Verbindung mit § 99 Absatz 1 des Patentgesetzes zu treffenden Entscheidungen bei der Rückerstattung von Sicherheiten in den Fällen des § 81 Absatz 6 und des § 85 Absatz 2 und 6 des Patentgesetzes sowie des § 20 des Gebrauchsmustergesetzes;</w:t>
      </w:r>
    </w:p>
    <w:p>
      <w:pPr>
        <w:ind w:left="420"/>
      </w:pPr>
      <w:r>
        <w:t xml:space="preserve">2. bei Verfahrenskostenhilfe (§§ 129 bis 137 des Patentgesetzes, § 21 Absatz 2 des Gebrauchsmustergesetzes, § 81a Absatz 2 des Markengesetzes, § 24 des Designgesetzes, § 11 Absatz 2 des Halbleiterschutzgesetzes, § 36 des Sortenschutzgesetzes) die in § 20 Absatz 1 Nummer 4 bezeichneten Maßnahmen;</w:t>
      </w:r>
    </w:p>
    <w:p>
      <w:pPr>
        <w:ind w:left="420"/>
      </w:pPr>
      <w:r>
        <w:t xml:space="preserve">3. (weggefallen)</w:t>
      </w:r>
    </w:p>
    <w:p>
      <w:pPr>
        <w:ind w:left="420"/>
      </w:pPr>
      <w:r>
        <w:t xml:space="preserve">4. der Ausspruch, dass eine Klage, ein Antrag auf einstweilige Verfügung, ein Antrag auf gerichtliche Entscheidung im Einspruchsverfahren sowie eine Beschwerde als nicht erhoben gilt (§ 6 Absatz 2 des Patentkostengesetzes) oder eine Klage nach § 81 Absatz 6 Satz 3 des Patentgesetzes als zurückgenommen gilt;</w:t>
      </w:r>
    </w:p>
    <w:p>
      <w:pPr>
        <w:ind w:left="420"/>
      </w:pPr>
      <w:r>
        <w:t xml:space="preserve">5. die Bestimmung einer Frist für die Nachreichung der schriftlichen Vollmacht (§ 97 Absatz 5 Satz 2 des Patentgesetzes, § 18 Absatz 2 des Gebrauchsmustergesetzes, § 4 Absatz 4 Satz 3 des Halbleiterschutzgesetzes, § 81 Absatz 5 Satz 3 des Markengesetzes, § 23 Absatz 4 Satz 4 des Designgesetzes);</w:t>
      </w:r>
    </w:p>
    <w:p>
      <w:pPr>
        <w:ind w:left="420"/>
      </w:pPr>
      <w:r>
        <w:t xml:space="preserve">6. die Anordnung, Urschriften, Ablichtungen oder beglaubigte Abschriften von Druckschriften, die im Deutschen Patent- und Markenamt und im Bundespatentgericht nicht vorhanden sind, einzureichen (§ 125 Absatz 1 des Patentgesetzes, § 18 Absatz 2 des Gebrauchsmustergesetzes, § 4 Absatz 4 Satz 3 des Halbleiterschutzgesetzes);</w:t>
      </w:r>
    </w:p>
    <w:p>
      <w:pPr>
        <w:ind w:left="420"/>
      </w:pPr>
      <w:r>
        <w:t xml:space="preserve">7. die Aufforderung zur Benennung eines Vertreters nach § 25 des Patentgesetzes, § 28 des Gebrauchsmustergesetzes, § 11 Absatz 2 des Halbleiterschutzgesetzes, § 96 des Markengesetzes, § 58 des Designgesetzes;</w:t>
      </w:r>
    </w:p>
    <w:p>
      <w:pPr>
        <w:ind w:left="420"/>
      </w:pPr>
      <w:r>
        <w:t xml:space="preserve">8. (weggefallen)</w:t>
      </w:r>
    </w:p>
    <w:p>
      <w:pPr>
        <w:ind w:left="420"/>
      </w:pPr>
      <w:r>
        <w:t xml:space="preserve">9. die Erteilung der vollstreckbaren Ausfertigungen in den Fällen des § 20 Absatz 1 Nummer 12 dieses Gesetzes in Verbindung mit § 99 Absatz 1 des Patentgesetzes, § 18 Absatz 2 des Gebrauchsmustergesetzes, § 4 Absatz 4 Satz 3 des Halbleiterschutzgesetzes, § 82 Absatz 1 des Markengesetzes, § 23 Absatz 4 Satz 4 des Designgesetzes;</w:t>
      </w:r>
    </w:p>
    <w:p>
      <w:pPr>
        <w:ind w:left="420"/>
      </w:pPr>
      <w:r>
        <w:t xml:space="preserve">10. die Erteilung von weiteren vollstreckbaren Ausfertigungen gerichtlicher Urkunden nach § 797 Absatz 2 Nummer 1 der Zivilprozessordnung in Verbindung mit § 99 Absatz 1 des Patentgesetzes, § 18 Absatz 2 des Gebrauchsmustergesetzes, § 4 Absatz 4 Satz 3 des Halbleiterschutzgesetzes, § 82 Absatz 1 des Markengesetzes, § 23 Absatz 4 Satz 4 des Designgesetzes;</w:t>
      </w:r>
    </w:p>
    <w:p>
      <w:pPr>
        <w:ind w:left="420"/>
      </w:pPr>
      <w:r>
        <w:t xml:space="preserve">11. die Entscheidung über Anträge auf Gewährung von Akteneinsicht an dritte Personen, sofern kein Beteiligter Einwendungen erhebt und es sich nicht um Akten von Patentanmeldungen, Patenten, Gebrauchsmusteranmeldungen, Gebrauchsmustern, angemeldeter oder eingetragener Topographien handelt, für die jede Bekanntmachung unterbleibt (§§ 50, 99 Absatz 3 des Patentgesetzes, §§ 9, 18 Absatz 2 des Gebrauchsmustergesetzes, § 4 Absatz 4 Satz 3 des Halbleiterschutzgesetzes, § 82 Absatz 3 des Markengesetzes, § 23 Absatz 4 Satz 4 des Designgesetzes);</w:t>
      </w:r>
    </w:p>
    <w:p>
      <w:pPr>
        <w:ind w:left="420"/>
      </w:pPr>
      <w:r>
        <w:t xml:space="preserve">12. die Festsetzung der Kosten nach §§ 103ff. der Zivilprozessordnung in Verbindung mit § 80 Absatz 5, § 84 Absatz 2 Satz 2, § 99 Absatz 1, § 109 Absatz 3 des Patentgesetzes, § 18 Absatz 2 des Gebrauchsmustergesetzes, § 4 Absatz 4 Satz 3 des Halbleiterschutzgesetzes, § 71 Absatz 5, § 82 Absatz 1, § 90 Absatz 4 des Markengesetzes, § 23 Absatz 4 und 5 des Designgesetzes;</w:t>
      </w:r>
    </w:p>
    <w:p>
      <w:pPr>
        <w:ind w:left="420"/>
      </w:pPr>
      <w:r>
        <w:t xml:space="preserve">13. die Erteilung der vollstreckbaren Ausfertigungen in den Fällen des § 125a des Markengesetzes und § 64 des Designgesetzes.</w:t>
      </w:r>
    </w:p>
    <w:p>
      <w:r>
        <w:t xml:space="preserve">(2) Gegen die Entscheidungen des Rechtspflegers nach Absatz 1 ist die Erinnerung zulässig. Sie ist binnen einer Frist von zwei Wochen einzulegen. § 11 Absatz 1 und 2 Satz 1 ist nicht anzuwenden.</w:t>
      </w:r>
    </w:p>
    <w:p>
      <w:r>
        <w:rPr>
          <w:color w:val="555555"/>
          <w:sz w:val="17"/>
        </w:rPr>
        <w:t xml:space="preserve">Zitiervorschlag: § 23 RPflG 1969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https://recht.nulegal.eu/gesetze/RPflG%201969/23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RPflG 1969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