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RPflG 1969 — Aufhebung von Richtervorbehalten</w:t>
      </w:r>
    </w:p>
    <w:p>
      <w:r>
        <w:rPr>
          <w:color w:val="555555"/>
          <w:sz w:val="18"/>
        </w:rPr>
        <w:t xml:space="preserve">Rechtspflegergesetz</w:t>
      </w:r>
    </w:p>
    <w:p>
      <w:r>
        <w:rPr>
          <w:color w:val="555555"/>
          <w:sz w:val="18"/>
        </w:rPr>
        <w:t xml:space="preserve">Stand: 01.03.2023 (konsolidierte Textfassung, kein amtliches Inkrafttretensdatum)</w:t>
      </w:r>
    </w:p>
    <w:p>
      <w:r>
        <w:t xml:space="preserve">(1) Die Landesregierungen werden ermächtigt, durch Rechtsverordnung die in den vorstehenden Vorschriften bestimmten Richtervorbehalte ganz oder teilweise aufzuheben, soweit sie folgende Angelegenheiten betreffen:</w:t>
      </w:r>
    </w:p>
    <w:p>
      <w:pPr>
        <w:ind w:left="420"/>
      </w:pPr>
      <w:r>
        <w:t xml:space="preserve">1. die Geschäfte nach § 14 Absatz 1 Nummer 9 sowie § 15 Absatz 1 Nummer 1 bis 6, soweit sie nicht die Entscheidung über die Anordnung einer Betreuung und die Festlegung des Aufgabenkreises des Betreuers aufgrund der §§ 1814, 1815 und 1820 Absatz 3 des Bürgerlichen Gesetzbuchs sowie die Verrichtungen aufgrund des § 1820 Absatz 4 und 5, der §§ 1825, 1829 und 1830 und 1871 des Bürgerlichen Gesetzbuchs und von § 278 Absatz 5 und § 283 des Gesetzes über das Verfahren in Familiensachen und in den Angelegenheiten der freiwilligen Gerichtsbarkeit betreffen;</w:t>
      </w:r>
    </w:p>
    <w:p>
      <w:pPr>
        <w:ind w:left="420"/>
      </w:pPr>
      <w:r>
        <w:t xml:space="preserve">2. die Geschäfte nach § 16 Absatz 1 Nummer 1, soweit sie den nach § 14 Absatz 1 Nummer 9 dieses Gesetzes ausgeschlossenen Geschäften in Kindschaftssachen entsprechen;</w:t>
      </w:r>
    </w:p>
    <w:p>
      <w:pPr>
        <w:ind w:left="420"/>
      </w:pPr>
      <w:r>
        <w:t xml:space="preserve">3. die Geschäfte nach § 16 Absatz 1 Nummer 2;</w:t>
      </w:r>
    </w:p>
    <w:p>
      <w:pPr>
        <w:ind w:left="420"/>
      </w:pPr>
      <w:r>
        <w:t xml:space="preserve">4. die Geschäfte nach § 16 Absatz 1 Nummer 5, soweit der Erblasser den Testamentsvollstrecker nicht selbst ernannt oder einen Dritten zu dessen Ernennung bestimmt hat;</w:t>
      </w:r>
    </w:p>
    <w:p>
      <w:pPr>
        <w:ind w:left="420"/>
      </w:pPr>
      <w:r>
        <w:t xml:space="preserve">5. die Geschäfte nach § 16 Absatz 1 Nummer 6 und 7 sowie Absatz 2;</w:t>
      </w:r>
    </w:p>
    <w:p>
      <w:pPr>
        <w:ind w:left="420"/>
      </w:pPr>
      <w:r>
        <w:t xml:space="preserve">6. die Geschäfte nach § 17 Nummer 1, soweit sie nicht die Prüfung und Entscheidung nach § 316 Absatz 3, gegebenenfalls in Verbindung mit § 329 Satz 1, und § 343 Absatz 3 des Umwandlungsgesetzes betreffen.</w:t>
      </w:r>
    </w:p>
    <w:p>
      <w:r>
        <w:t xml:space="preserve">Die Landesregierungen können die Ermächtigung auf die Landesjustizverwaltungen übertragen.</w:t>
      </w:r>
    </w:p>
    <w:p>
      <w:r>
        <w:t xml:space="preserve">(2) In der Verordnung nach Absatz 1 ist vorzusehen, dass der Rechtspfleger das Verfahren dem Richter zur weiteren Bearbeitung vorzulegen hat, soweit bei den Geschäften nach Absatz 1 Satz 1 Nummer 2 bis 5 gegen den Erlass der beantragten Entscheidung Einwände erhoben werden.</w:t>
      </w:r>
    </w:p>
    <w:p>
      <w:r>
        <w:t xml:space="preserve">(3) Soweit von der Ermächtigung nach Absatz 1 Nummer 1 hinsichtlich der Auswahl und Bestellung eines Betreuers Gebrauch gemacht wird, sind die Vorschriften des Gesetzes über das Verfahren in Familiensachen und in den Angelegenheiten der freiwilligen Gerichtsbarkeit über die Bestellung eines Betreuers auch für die Anordnung einer Betreuung und Festlegung des Aufgabenkreises des Betreuers nach den §§ 1814 und 1815 des Bürgerlichen Gesetzbuchs anzuwenden.</w:t>
      </w:r>
    </w:p>
    <w:p>
      <w:r>
        <w:rPr>
          <w:color w:val="555555"/>
          <w:sz w:val="17"/>
        </w:rPr>
        <w:t xml:space="preserve">Zitiervorschlag: § 19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