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 RPflG 1969 — Insolvenzverfahren</w:t>
      </w:r>
    </w:p>
    <w:p>
      <w:r>
        <w:rPr>
          <w:color w:val="555555"/>
          <w:sz w:val="18"/>
        </w:rPr>
        <w:t xml:space="preserve">Rechtspflegergesetz</w:t>
      </w:r>
    </w:p>
    <w:p>
      <w:r>
        <w:rPr>
          <w:color w:val="555555"/>
          <w:sz w:val="18"/>
        </w:rPr>
        <w:t xml:space="preserve">Stand: 10.06.2019 (konsolidierte Textfassung, kein amtliches Inkrafttretensdatum)</w:t>
      </w:r>
    </w:p>
    <w:p>
      <w:r>
        <w:t xml:space="preserve">(1) In Verfahren nach der Insolvenzordnung bleiben dem Richter vorbehalten:</w:t>
      </w:r>
    </w:p>
    <w:p>
      <w:pPr>
        <w:ind w:left="420"/>
      </w:pPr>
      <w:r>
        <w:t xml:space="preserve">1. das Verfahren bis zur Entscheidung über den Eröffnungsantrag unter Einschluss dieser Entscheidung und der Ernennung des Insolvenzverwalters sowie des Verfahrens über einen Schuldenbereinigungsplan nach den §§ 305 bis 310 der Insolvenzordnung,</w:t>
      </w:r>
    </w:p>
    <w:p>
      <w:pPr>
        <w:ind w:left="420"/>
      </w:pPr>
      <w:r>
        <w:t xml:space="preserve">2. das Verfahren über einen Insolvenzplan nach den §§ 217 bis 256 und den §§ 258 bis 269 der Insolvenzordnung,</w:t>
      </w:r>
    </w:p>
    <w:p>
      <w:pPr>
        <w:ind w:left="420"/>
      </w:pPr>
      <w:r>
        <w:t xml:space="preserve">3. die Entscheidung über die Begründung des Gruppen-Gerichtsstands nach § 3a Absatz 1 der Insolvenzordnung, die Entscheidung über den Antrag auf Verweisung an das Gericht des Gruppen-Gerichtsstands nach § 3d Absatz 1 der Insolvenzordnung sowie das Koordinationsverfahren nach den §§ 269d bis 269i der Insolvenzordnung,</w:t>
      </w:r>
    </w:p>
    <w:p>
      <w:pPr>
        <w:ind w:left="420"/>
      </w:pPr>
      <w:r>
        <w:t xml:space="preserve">4. bei einem Antrag des Schuldners auf Erteilung der Restschuldbefreiung die Entscheidungen nach den §§ 287a, 290, 296 bis 297a und 300 der Insolvenzordnung, wenn ein Insolvenzgläubiger die Versagung der Restschuldbefreiung beantragt, sowie die Entscheidung über den Widerruf der Restschuldbefreiung nach § 303 der Insolvenzordnung,</w:t>
      </w:r>
    </w:p>
    <w:p>
      <w:pPr>
        <w:ind w:left="420"/>
      </w:pPr>
      <w:r>
        <w:t xml:space="preserve">5. Entscheidungen nach den §§ 344 bis 346 der Insolvenzordnung.</w:t>
      </w:r>
    </w:p>
    <w:p>
      <w:r>
        <w:t xml:space="preserve">(2) Der Richter kann sich das Insolvenzverfahren ganz oder teilweise vorbehalten, wenn er dies für geboten erachtet. Hält er den Vorbehalt nicht mehr für erforderlich, kann er das Verfahren dem Rechtspfleger übertragen. Auch nach der Übertragung kann er das Verfahren wieder an sich ziehen, wenn und solange er dies für erforderlich hält.</w:t>
      </w:r>
    </w:p>
    <w:p>
      <w:r>
        <w:t xml:space="preserve">(3) Hat sich die Entscheidung des Rechtspflegers über die Gewährung des Stimmrechts nach § 77 der Insolvenzordnung auf das Ergebnis einer Abstimmung ausgewirkt, so kann der Richter auf Antrag eines Gläubigers oder des Insolvenzverwalters das Stimmrecht neu festsetzen und die Wiederholung der Abstimmung anordnen; der Antrag kann nur bis zum Schluss des Termins gestellt werden, in dem die Abstimmung stattfindet.</w:t>
      </w:r>
    </w:p>
    <w:p>
      <w:r>
        <w:t xml:space="preserve">(4) Ein Beamter auf Probe darf im ersten Jahr nach seiner Ernennung Geschäfte des Rechtspflegers in Insolvenzsachen nicht wahrnehmen. Rechtspfleger in Insolvenzsachen sollen über belegbare Kenntnisse des Insolvenzrechts und Grundkenntnisse des Handels- und Gesellschaftsrechts und der für das Insolvenzverfahren notwendigen Teile des Arbeits-, Sozial- und Steuerrechts und des Rechnungswesens verfügen. Einem Rechtspfleger, dessen Kenntnisse auf diesen Gebieten nicht belegt sind, dürfen die Aufgaben eines Rechtspflegers in Insolvenzsachen nur zugewiesen werden, wenn der Erwerb der Kenntnisse alsbald zu erwarten ist.</w:t>
      </w:r>
    </w:p>
    <w:p>
      <w:r>
        <w:rPr>
          <w:color w:val="555555"/>
          <w:sz w:val="17"/>
        </w:rPr>
        <w:t xml:space="preserve">Zitiervorschlag: § 18 RPflG 1969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https://recht.nulegal.eu/gesetze/RPflG%201969/18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