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RPflG 1969 — Registersachen und unternehmensrechtliche Verfahren</w:t>
      </w:r>
    </w:p>
    <w:p>
      <w:r>
        <w:rPr>
          <w:color w:val="555555"/>
          <w:sz w:val="18"/>
        </w:rPr>
        <w:t xml:space="preserve">Rechtspflegergesetz</w:t>
      </w:r>
    </w:p>
    <w:p>
      <w:r>
        <w:rPr>
          <w:color w:val="555555"/>
          <w:sz w:val="18"/>
        </w:rPr>
        <w:t xml:space="preserve">Stand: 01.01.2024 (konsolidierte Textfassung, kein amtliches Inkrafttretensdatum)</w:t>
      </w:r>
    </w:p>
    <w:p>
      <w:r>
        <w:t xml:space="preserve">In Handelsregistersachen sowie in unternehmensrechtlichen Verfahren nach dem Buch 5 des Gesetzes über das Verfahren in Familiensachen und in den Angelegenheiten der freiwilligen Gerichtsbarkeit bleiben dem Richter vorbehalten</w:t>
      </w:r>
    </w:p>
    <w:p>
      <w:pPr>
        <w:ind w:left="420"/>
      </w:pPr>
      <w:r>
        <w:t xml:space="preserve">1. bei Aktiengesellschaften, Kommanditgesellschaften auf Aktien, Gesellschaften mit beschränkter Haftung und Versicherungsvereinen auf Gegenseitigkeit folgende Verfügungen beim Gericht des Sitzes und, wenn es sich um eine Gesellschaft mit Sitz im Ausland handelt, beim Gericht der Zweigniederlassung:</w:t>
      </w:r>
    </w:p>
    <w:p>
      <w:pPr>
        <w:ind w:left="780"/>
      </w:pPr>
      <w:r>
        <w:t xml:space="preserve">a) auf erste Eintragung,</w:t>
      </w:r>
    </w:p>
    <w:p>
      <w:pPr>
        <w:ind w:left="780"/>
      </w:pPr>
      <w:r>
        <w:t xml:space="preserve">b) auf Eintragung von Satzungsänderungen, die nicht nur die Fassung betreffen,</w:t>
      </w:r>
    </w:p>
    <w:p>
      <w:pPr>
        <w:ind w:left="780"/>
      </w:pPr>
      <w:r>
        <w:t xml:space="preserve">c) auf Eintragung der Eingliederung oder der Umwandlung,</w:t>
      </w:r>
    </w:p>
    <w:p>
      <w:pPr>
        <w:ind w:left="780"/>
      </w:pPr>
      <w:r>
        <w:t xml:space="preserve">d) auf Eintragung des Bestehens, der Änderung oder der Beendigung eines Unternehmensvertrages,</w:t>
      </w:r>
    </w:p>
    <w:p>
      <w:pPr>
        <w:ind w:left="780"/>
      </w:pPr>
      <w:r>
        <w:t xml:space="preserve">e) auf Löschung im Handelsregister nach den §§ 394, 395, 397 und 398 des Gesetzes über das Verfahren in Familiensachen und in den Angelegenheiten der freiwilligen Gerichtsbarkeit und nach § 6 Absatz 4 Satz 1 des Versicherungsaufsichtsgesetzes,</w:t>
      </w:r>
    </w:p>
    <w:p>
      <w:pPr>
        <w:ind w:left="780"/>
      </w:pPr>
      <w:r>
        <w:t xml:space="preserve">f) Beschlüsse nach § 399 des Gesetzes über das Verfahren in Familiensachen und in den Angelegenheiten der freiwilligen Gerichtsbarkeit;</w:t>
      </w:r>
    </w:p>
    <w:p>
      <w:pPr>
        <w:ind w:left="420"/>
      </w:pPr>
      <w:r>
        <w:t xml:space="preserve">2. die nach § 375 Nummer 1 bis 6, 9 bis 14 und 16 des Gesetzes über das Verfahren in Familiensachen und in den Angelegenheiten der freiwilligen Gerichtsbarkeit zu erledigenden Geschäfte mit Ausnahme der in</w:t>
      </w:r>
    </w:p>
    <w:p>
      <w:pPr>
        <w:ind w:left="780"/>
      </w:pPr>
      <w:r>
        <w:t xml:space="preserve">a) § 145 Absatz 1 und § 152 Absatz 1 des Handelsgesetzbuchs,</w:t>
      </w:r>
    </w:p>
    <w:p>
      <w:pPr>
        <w:ind w:left="780"/>
      </w:pPr>
      <w:r>
        <w:t xml:space="preserve">b) § 264 Absatz 2, § 273 Absatz 4 und § 290 Absatz 3 des Aktiengesetzes,</w:t>
      </w:r>
    </w:p>
    <w:p>
      <w:pPr>
        <w:ind w:left="780"/>
      </w:pPr>
      <w:r>
        <w:t xml:space="preserve">c) § 66 Absatz 2, 3 und 5 sowie § 74 Absatz 2 und 3 des Gesetzes betreffend die Gesellschaften mit beschränkter Haftung,</w:t>
      </w:r>
    </w:p>
    <w:p>
      <w:pPr>
        <w:ind w:left="420"/>
      </w:pPr>
      <w:r>
        <w:t xml:space="preserve">geregelten Geschäfte.</w:t>
      </w:r>
    </w:p>
    <w:p>
      <w:r>
        <w:rPr>
          <w:color w:val="555555"/>
          <w:sz w:val="17"/>
        </w:rPr>
        <w:t xml:space="preserve">Zitiervorschlag: § 17 RPflG 1969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https://recht.nulegal.eu/gesetze/RPflG%201969/17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