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RPflG 1969 — Kindschafts- und Adoptionssachen</w:t>
      </w:r>
    </w:p>
    <w:p>
      <w:r>
        <w:rPr>
          <w:color w:val="555555"/>
          <w:sz w:val="18"/>
        </w:rPr>
        <w:t xml:space="preserve">Rechtspflegergesetz</w:t>
      </w:r>
    </w:p>
    <w:p>
      <w:r>
        <w:rPr>
          <w:color w:val="555555"/>
          <w:sz w:val="18"/>
        </w:rPr>
        <w:t xml:space="preserve">Stand: 01.11.2024 (konsolidierte Textfassung, kein amtliches Inkrafttretensdatum)</w:t>
      </w:r>
    </w:p>
    <w:p>
      <w:r>
        <w:t xml:space="preserve">(1) Von den dem Familiengericht übertragenen Angelegenheiten in Kindschafts- und Adoptionssachen sowie den entsprechenden Lebenspartnerschaftssachen bleiben dem Richter vorbehalten:</w:t>
      </w:r>
    </w:p>
    <w:p>
      <w:pPr>
        <w:ind w:left="420"/>
      </w:pPr>
      <w:r>
        <w:t xml:space="preserve">1. Verfahren, die die Feststellung des Bestehens oder Nichtbestehens der elterlichen Sorge eines Beteiligten für den anderen zum Gegenstand haben;</w:t>
      </w:r>
    </w:p>
    <w:p>
      <w:pPr>
        <w:ind w:left="420"/>
      </w:pPr>
      <w:r>
        <w:t xml:space="preserve">2. die Maßnahmen auf Grund des § 1666 des Bürgerlichen Gesetzbuchs zur Abwendung der Gefahr für das körperliche, geistige oder seelische Wohl des Kindes;</w:t>
      </w:r>
    </w:p>
    <w:p>
      <w:pPr>
        <w:ind w:left="420"/>
      </w:pPr>
      <w:r>
        <w:t xml:space="preserve">3. die Übertragung der elterlichen Sorge nach den §§ 1626a, 1671, 1678 Absatz 2, § 1680 Absatz 2 und 3 sowie § 1681 Absatz 1 und 2 des Bürgerlichen Gesetzbuchs;</w:t>
      </w:r>
    </w:p>
    <w:p>
      <w:pPr>
        <w:ind w:left="420"/>
      </w:pPr>
      <w:r>
        <w:t xml:space="preserve">4. die Entscheidung über die Übertragung von Angelegenheiten der elterlichen Sorge auf die Pflegeperson nach § 1630 Absatz 3 des Bürgerlichen Gesetzbuchs;</w:t>
      </w:r>
    </w:p>
    <w:p>
      <w:pPr>
        <w:ind w:left="420"/>
      </w:pPr>
      <w:r>
        <w:t xml:space="preserve">5. die Entscheidung von Meinungsverschiedenheiten zwischen den Sorgeberechtigten;</w:t>
      </w:r>
    </w:p>
    <w:p>
      <w:pPr>
        <w:ind w:left="420"/>
      </w:pPr>
      <w:r>
        <w:t xml:space="preserve">6. die Genehmigung einer freiheitsentziehenden Unterbringung oder einer freiheitsentziehenden Maßnahme nach § 1631b des Bürgerlichen Gesetzbuchs und die Genehmigung einer Einwilligung nach § 1631e Absatz 3 des Bürgerlichen Gesetzbuchs;</w:t>
      </w:r>
    </w:p>
    <w:p>
      <w:pPr>
        <w:ind w:left="420"/>
      </w:pPr>
      <w:r>
        <w:t xml:space="preserve">7. die Regelung des persönlichen Umgangs zwischen Eltern und Kindern sowie Kindern und Dritten nach § 1684 Absatz 3 und 4, § 1685 Absatz 3 und § 1686a Absatz 2 des Bürgerlichen Gesetzbuchs, die Entscheidung über die Beschränkung oder den Ausschluss des Rechts zur alleinigen Entscheidung in Angelegenheiten des täglichen Lebens nach den §§ 1687, 1687a des Bürgerlichen Gesetzbuchs sowie über Streitigkeiten, die eine Angelegenheit nach § 1632 Absatz 2 des Bürgerlichen Gesetzbuchs betreffen;</w:t>
      </w:r>
    </w:p>
    <w:p>
      <w:pPr>
        <w:ind w:left="420"/>
      </w:pPr>
      <w:r>
        <w:t xml:space="preserve">8. die Entscheidung über den Anspruch auf Herausgabe eines Kindes nach § 1632 Absatz 1 des Bürgerlichen Gesetzbuchs sowie die Entscheidung über den Verbleib des Kindes bei der Pflegeperson nach § 1632 Absatz 4 oder bei dem Ehegatten, Lebenspartner oder Umgangsberechtigten nach § 1682 des Bürgerlichen Gesetzbuchs;</w:t>
      </w:r>
    </w:p>
    <w:p>
      <w:pPr>
        <w:ind w:left="420"/>
      </w:pPr>
      <w:r>
        <w:t xml:space="preserve">9. die Anordnung einer Betreuung oder Pflegschaft auf Grund dienstrechtlicher Vorschriften, soweit hierfür das Familiengericht zuständig ist;</w:t>
      </w:r>
    </w:p>
    <w:p>
      <w:pPr>
        <w:ind w:left="420"/>
      </w:pPr>
      <w:r>
        <w:t xml:space="preserve">10. (weggefallen)</w:t>
      </w:r>
    </w:p>
    <w:p>
      <w:pPr>
        <w:ind w:left="420"/>
      </w:pPr>
      <w:r>
        <w:t xml:space="preserve">11. die religiöse Kindererziehung betreffenden Maßnahmen nach den §§ 2, 3 und 7 des Gesetzes über die religiöse Kindererziehung;</w:t>
      </w:r>
    </w:p>
    <w:p>
      <w:pPr>
        <w:ind w:left="420"/>
      </w:pPr>
      <w:r>
        <w:t xml:space="preserve">12. die Ersetzung der Zustimmung</w:t>
      </w:r>
    </w:p>
    <w:p>
      <w:pPr>
        <w:ind w:left="780"/>
      </w:pPr>
      <w:r>
        <w:t xml:space="preserve">a) eines Sorgeberechtigten zu einem Rechtsgeschäft,</w:t>
      </w:r>
    </w:p>
    <w:p>
      <w:pPr>
        <w:ind w:left="780"/>
      </w:pPr>
      <w:r>
        <w:t xml:space="preserve">b) eines gesetzlichen Vertreters zu der Sorgeerklärung eines beschränkt geschäftsfähigen Elternteils nach § 1626c Absatz 2 Satz 1 des Bürgerlichen Gesetzbuchs,</w:t>
      </w:r>
    </w:p>
    <w:p>
      <w:pPr>
        <w:ind w:left="780"/>
      </w:pPr>
      <w:r>
        <w:t xml:space="preserve">c) des gesetzlichen Vertreters nach § 3 Absatz 1 Satz 2 des Gesetzes über die Selbstbestimmung in Bezug auf den Geschlechtseintrag;</w:t>
      </w:r>
    </w:p>
    <w:p>
      <w:pPr>
        <w:ind w:left="420"/>
      </w:pPr>
      <w:r>
        <w:t xml:space="preserve">13. die im Jugendgerichtsgesetz genannten Verrichtungen mit Ausnahme der Bestellung eines Pflegers nach § 67 Absatz 4 Satz 3 des Jugendgerichtsgesetzes;</w:t>
      </w:r>
    </w:p>
    <w:p>
      <w:pPr>
        <w:ind w:left="420"/>
      </w:pPr>
      <w:r>
        <w:t xml:space="preserve">14. die Ersetzung der Einwilligung oder der Zustimmung zu einer Annahme als Kind nach § 1746 Absatz 3 sowie nach den §§ 1748 und 1749 Absatz 1 des Bürgerlichen Gesetzbuchs, die Entscheidung über die Annahme als Kind einschließlich der Entscheidung über den Namen des Kindes nach den §§ 1752, 1768 und 1757 Absatz 3 des Bürgerlichen Gesetzbuchs, die Aufhebung des Annahmeverhältnisses nach den §§ 1760, 1763 und 1771 des Bürgerlichen Gesetzbuchs sowie die Entscheidungen nach § 1751 Absatz 3, § 1764 Absatz 4, § 1765 Absatz 2 des Bürgerlichen Gesetzbuchs und nach dem Adoptionswirkungsgesetz vom 5. November 2001 (BGBl. I S. 2950, 2953), soweit sie eine richterliche Entscheidung enthalten;</w:t>
      </w:r>
    </w:p>
    <w:p>
      <w:pPr>
        <w:ind w:left="420"/>
      </w:pPr>
      <w:r>
        <w:t xml:space="preserve">15. die Befreiung vom Eheverbot der durch die Annahme als Kind begründeten Verwandtschaft in der Seitenlinie nach § 1308 Absatz 2 des Bürgerlichen Gesetzbuchs;</w:t>
      </w:r>
    </w:p>
    <w:p>
      <w:pPr>
        <w:ind w:left="420"/>
      </w:pPr>
      <w:r>
        <w:t xml:space="preserve">16. die Genehmigung für den Antrag auf Scheidung oder Aufhebung der Ehe oder auf Aufhebung der Lebenspartnerschaft durch den gesetzlichen Vertreter eines geschäftsunfähigen Ehegatten oder Lebenspartners nach § 125 Absatz 2 Satz 2, § 270 Absatz 1 Satz 1 des Gesetzes über das Verfahren in Familiensachen und in den Angelegenheiten der freiwilligen Gerichtsbarkeit;</w:t>
      </w:r>
    </w:p>
    <w:p>
      <w:pPr>
        <w:ind w:left="420"/>
      </w:pPr>
      <w:r>
        <w:t xml:space="preserve">17. die Genehmigung für die Erklärungen zur Änderung des Geschlechtseintrags und der Vornamen nach § 3 Absatz 2 Satz 2 des Gesetzes über die Selbstbestimmung in Bezug auf den Geschlechtseintrag.</w:t>
      </w:r>
    </w:p>
    <w:p>
      <w:r>
        <w:t xml:space="preserve">(2) Soweit die Maßnahmen und Anordnungen nach den §§ 10 bis 15, 20, 21, 32 bis 35, 38 bis 41, 44 bis 44c, 44f, 44h, 44j und 47 bis 50 des Internationalen Familienrechtsverfahrensgesetzes dem Familiengericht obliegen, bleiben sie dem Richter vorbehalten.</w:t>
      </w:r>
    </w:p>
    <w:p>
      <w:r>
        <w:rPr>
          <w:color w:val="555555"/>
          <w:sz w:val="17"/>
        </w:rPr>
        <w:t xml:space="preserve">Zitiervorschlag: § 14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