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RPflG 1969 — Ausschluss des Anwaltszwangs</w:t>
      </w:r>
    </w:p>
    <w:p>
      <w:r>
        <w:rPr>
          <w:color w:val="555555"/>
          <w:sz w:val="18"/>
        </w:rPr>
        <w:t xml:space="preserve">Rechtspflegergesetz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78 Absatz 1 der Zivilprozessordnung und § 114 Absatz 1 des Gesetzes über das Verfahren in Familiensachen und in den Angelegenheiten der freiwilligen Gerichtsbarkeit sind auf Verfahren vor dem Rechtspfleger nicht anzuwenden.</w:t>
      </w:r>
    </w:p>
    <w:p>
      <w:r>
        <w:rPr>
          <w:color w:val="555555"/>
          <w:sz w:val="17"/>
        </w:rPr>
        <w:t xml:space="preserve">Zitiervorschlag: § 13 RPflG 1969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https://recht.nulegal.eu/gesetze/RPflG%201969/13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