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ROkAbw (Bayern)</w:t>
      </w:r>
    </w:p>
    <w:p>
      <w:r>
        <w:rPr>
          <w:color w:val="555555"/>
          <w:sz w:val="18"/>
        </w:rPr>
        <w:t xml:space="preserve">Reinhalteordnung kommunales Abwasser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§ 18a Abs. 3 und § 27 Abs. 1 des Wasserhaushaltsgesetzes, § 1 Abs. 1 und 3 der Verordnung über Zuständigkeiten nach dem Wasserhaushaltsgesetz (BayRS 753-2-I), Art. 41d Abs. 4 und Art. 75 Abs. 3 Satz 1 des Bayerischen Wassergesetzes (BayWG) erläßt das Bayerische Staatsministerium des Innern folgende Verordnung:</w:t>
      </w:r>
    </w:p>
    <w:p>
      <w:r>
        <w:rPr>
          <w:color w:val="555555"/>
          <w:sz w:val="17"/>
        </w:rPr>
        <w:t xml:space="preserve">Zitiervorschlag: Eingangsformel ROkAbw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https://recht.nulegal.eu/gesetze/ROkAbw/eingangsformel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