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ROkAbw (Bayern) — Anforderungen an Kanalisationen</w:t>
      </w:r>
    </w:p>
    <w:p>
      <w:r>
        <w:rPr>
          <w:color w:val="555555"/>
          <w:sz w:val="18"/>
        </w:rPr>
        <w:t xml:space="preserve">Reinhalteordnung kommunales Abwasser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Kanalisationen sollen den Anforderungen an die Abwasserbehandlung Rechnung tragen.</w:t>
      </w:r>
    </w:p>
    <w:p>
      <w:r>
        <w:t xml:space="preserve">Bei Entwurf, Bau und Unterhaltung der Kanalisation sind die optimalen technischen Kenntnisse zugrunde zu legen, die keine unverhältnismäßig hohen Kosten verursachen; dies betrifft insbesondere:</w:t>
      </w:r>
    </w:p>
    <w:p>
      <w:r>
        <w:t xml:space="preserve">– Menge und Zusammensetzung der kommunalen Abwässer,</w:t>
      </w:r>
    </w:p>
    <w:p>
      <w:r>
        <w:t xml:space="preserve">– Verhinderung von Leckagen,</w:t>
      </w:r>
    </w:p>
    <w:p>
      <w:r>
        <w:t xml:space="preserve">– Begrenzung einer Verschmutzung der aufnehmenden Gewässer durch Regenüberläufe; hierbei sollen mindestens die Anforderungen des Art. 6 Abs. 1 und 2 des Bayerischen Gesetzes zur Ausführung des Abwasserabgabengesetzes (BayAbwAG) beachtet werden.</w:t>
      </w:r>
    </w:p>
    <w:p>
      <w:r>
        <w:rPr>
          <w:color w:val="555555"/>
          <w:sz w:val="17"/>
        </w:rPr>
        <w:t xml:space="preserve">Zitiervorschlag: Anlage 2 ROkAbw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https://recht.nulegal.eu/gesetze/ROkAbw/anlage-2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