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ROkAbw (Bayern) — Weitergehende Anforderungen</w:t>
      </w:r>
    </w:p>
    <w:p>
      <w:r>
        <w:rPr>
          <w:color w:val="555555"/>
          <w:sz w:val="18"/>
        </w:rPr>
        <w:t xml:space="preserve">Reinhalteordnung kommunales Abwasser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Weitergehende öffentlich-rechtliche Anforderungen an Abwasseranlagen oder Abwassereinleitungen, die insbesondere nach dem Wasserhaushaltsgesetz oder dem Bayerischen Wassergesetz bestehen oder auf Grund dieser Gesetze gestellt werden, bleiben unberührt.</w:t>
      </w:r>
    </w:p>
    <w:p>
      <w:r>
        <w:rPr>
          <w:color w:val="555555"/>
          <w:sz w:val="17"/>
        </w:rPr>
        <w:t xml:space="preserve">Zitiervorschlag: § 8 ROkAbw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https://recht.nulegal.eu/gesetze/ROkAbw/8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