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ROkAbw (Bayern) — Berichte und Programme</w:t>
      </w:r>
    </w:p>
    <w:p>
      <w:r>
        <w:rPr>
          <w:color w:val="555555"/>
          <w:sz w:val="18"/>
        </w:rPr>
        <w:t xml:space="preserve">Reinhalteordnung kommunales Abwasser</w:t>
      </w:r>
    </w:p>
    <w:p>
      <w:r>
        <w:rPr>
          <w:color w:val="555555"/>
          <w:sz w:val="18"/>
        </w:rPr>
        <w:t xml:space="preserve">Landesrecht Bayern</w:t>
      </w:r>
    </w:p>
    <w:p>
      <w:r>
        <w:rPr>
          <w:color w:val="555555"/>
          <w:sz w:val="18"/>
        </w:rPr>
        <w:t xml:space="preserve">Stand: 25.08.2026 (konsolidierte Textfassung, kein amtliches Inkrafttretensdatum)</w:t>
      </w:r>
    </w:p>
    <w:p>
      <w:r>
        <w:t xml:space="preserve">Das Bayerische Landesamt für Wasserwirtschaft veröffentlicht alle zwei Jahre einen Lagebericht über die Beseitigung von kommunalen Abwässern und Klärschlamm. Die Berichte sind über das Staatsministerium des Innern, für Sport und Integration der Kommission vorzulegen.</w:t>
      </w:r>
    </w:p>
    <w:p>
      <w:r>
        <w:rPr>
          <w:color w:val="555555"/>
          <w:sz w:val="17"/>
        </w:rPr>
        <w:t xml:space="preserve">Zitiervorschlag: § 7 ROkAbw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https://recht.nulegal.eu/gesetze/ROkAbw/7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