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ROkAbw (Bayern) — Industrieabwassereinleitungen in Kanalisationen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Industrieabwasser darf über Kanalisationen in Gewässer nur eingeleitet werden, wenn die Einleitung in die Kanalisation</w:t>
      </w:r>
    </w:p>
    <w:p>
      <w:r>
        <w:t xml:space="preserve">1. bei Abwasser mit gefährlichen Stoffen nach der Verordnung über die Genehmigungspflicht für das Einleiten wassergefährdender Stoffe in Sammelkanalisationen vom 9. Dezember 1990 (GVBl S. 586, BayRS 753-1-11-I) genehmigt wurde,</w:t>
      </w:r>
    </w:p>
    <w:p>
      <w:r>
        <w:t xml:space="preserve">2. im übrigen vom Träger der Kanalisation einer Genehmigung unterzogen wurde,</w:t>
      </w:r>
    </w:p>
    <w:p>
      <w:r>
        <w:t xml:space="preserve">und die Genehmigungen der Anlage 7 dieser Verordnung entsprechen.</w:t>
      </w:r>
    </w:p>
    <w:p>
      <w:r>
        <w:rPr>
          <w:color w:val="555555"/>
          <w:sz w:val="17"/>
        </w:rPr>
        <w:t xml:space="preserve">Zitiervorschlag: § 6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