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10 ROkAbw (Bayern) — Inkrafttreten</w:t>
      </w:r>
    </w:p>
    <w:p>
      <w:r>
        <w:rPr>
          <w:color w:val="555555"/>
          <w:sz w:val="18"/>
        </w:rPr>
        <w:t xml:space="preserve">Reinhalteordnung kommunales Abwasser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Diese Verordnung tritt am 1. Oktober 1992 in Kraft.</w:t>
      </w:r>
    </w:p>
    <w:p>
      <w:r>
        <w:rPr>
          <w:color w:val="555555"/>
          <w:sz w:val="17"/>
        </w:rPr>
        <w:t xml:space="preserve">Zitiervorschlag: § 10 ROkAbw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https://recht.nulegal.eu/gesetze/ROkAbw/10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