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ROkAbw (Bayern) — Zweck, Begriffe</w:t>
      </w:r>
    </w:p>
    <w:p>
      <w:r>
        <w:rPr>
          <w:color w:val="555555"/>
          <w:sz w:val="18"/>
        </w:rPr>
        <w:t xml:space="preserve">Reinhalteordnung kommunales Abwasser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dient der Umsetzung der Richtlinie 91/271/EWG des Rates vom 21. Mai 1991 über die Behandlung von kommunalem Abwasser und dem Schutz oberirdischer Gewässer vor schädlichen Auswirkungen kommunalen Abwassers (ABl EG Nr. L 135 S. 40).</w:t>
      </w:r>
    </w:p>
    <w:p>
      <w:r>
        <w:t xml:space="preserve">(2) Im Sinn dieser Verordnung ist</w:t>
      </w:r>
    </w:p>
    <w:p>
      <w:r>
        <w:t xml:space="preserve">1. kommunales Abwasser:</w:t>
      </w:r>
    </w:p>
    <w:p>
      <w:r>
        <w:t xml:space="preserve">häusliches Abwasser oder Gemisch aus häuslichem und industriellem Abwasser und/oder Niederschlagswasser; häusliches Abwasser ist Abwasser aus Wohngebieten und den dazugehörigen Einrichtungen, vorwiegend menschlichen Ursprungs und der Tätigkeiten in Haushaltungen; industrielles Abwasser ist Abwasser aus Anlagen für gewerbliche oder industrielle Zwecke, soweit es sich nicht um häusliches Abwasser und Niederschlagswasser handelt;</w:t>
      </w:r>
    </w:p>
    <w:p>
      <w:r>
        <w:t xml:space="preserve">2. gemeindliches Gebiet:</w:t>
      </w:r>
    </w:p>
    <w:p>
      <w:r>
        <w:t xml:space="preserve">Gebiet, in welchem Besiedlung und/oder wirtschaftliche Aktivitäten für eine Sammlung von kommunalem Abwasser und eine Weiterleitung zu einer kommunalen Abwasserbehandlungsanlage oder Einleitungsstelle ausreichend konzentriert sind;</w:t>
      </w:r>
    </w:p>
    <w:p>
      <w:r>
        <w:t xml:space="preserve">3. 1 EW (Einwohnerwert):</w:t>
      </w:r>
    </w:p>
    <w:p>
      <w:r>
        <w:t xml:space="preserve">organisch-biologisch abbaubare Belastung mit einem biochemischen Sauerstoffbedarf in fünf Tagen (BSB 5 ) von 60 g Sauerstoff/Tag; die in EW ausgedrückte Belastung wird auf der Grundlage der höchsten wöchentlichen Durchschnittslast im Zulauf der Behandlungsanlage während eines Jahres berechnet; Ausnahmesituationen wie nach Starkniederschlägen bleiben dabei unberücksichtigt;</w:t>
      </w:r>
    </w:p>
    <w:p>
      <w:r>
        <w:t xml:space="preserve">4. Kanalisation:</w:t>
      </w:r>
    </w:p>
    <w:p>
      <w:r>
        <w:t xml:space="preserve">Leitungssystem, in dem kommunales Abwasser gesammelt und transportiert wird;</w:t>
      </w:r>
    </w:p>
    <w:p>
      <w:r>
        <w:t xml:space="preserve">5. Klärschlamm:</w:t>
      </w:r>
    </w:p>
    <w:p>
      <w:r>
        <w:t xml:space="preserve">behandelter oder unbehandelter Schlamm aus kommunalen Abwasserbehandlungsanlagen.</w:t>
      </w:r>
    </w:p>
    <w:p>
      <w:r>
        <w:rPr>
          <w:color w:val="555555"/>
          <w:sz w:val="17"/>
        </w:rPr>
        <w:t xml:space="preserve">Zitiervorschlag: § 1 ROkAbw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https://recht.nulegal.eu/gesetze/ROkAbw/1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