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ROG 2008 — Ausnahmen und Zielabweichung</w:t>
      </w:r>
    </w:p>
    <w:p>
      <w:r>
        <w:rPr>
          <w:color w:val="555555"/>
          <w:sz w:val="18"/>
        </w:rPr>
        <w:t xml:space="preserve">Raumordnungsgesetz</w:t>
      </w:r>
    </w:p>
    <w:p>
      <w:r>
        <w:rPr>
          <w:color w:val="555555"/>
          <w:sz w:val="18"/>
        </w:rPr>
        <w:t xml:space="preserve">Stand: 28.09.2023 (konsolidierte Textfassung, kein amtliches Inkrafttretensdatum)</w:t>
      </w:r>
    </w:p>
    <w:p>
      <w:r>
        <w:t xml:space="preserve">(1) Von Zielen der Raumordnung können im Raumordnungsplan Ausnahmen festgelegt werden.</w:t>
      </w:r>
    </w:p>
    <w:p>
      <w:r>
        <w:t xml:space="preserve">(2) Die zuständige Raumordnungsbehörde soll einem Antrag auf Abweichung von einem Ziel der Raumordnung stattgeben, wenn die Abweichung unter raumordnerischen Gesichtspunkten vertretbar ist und die Grundzüge der Planung nicht berührt werden. Antragsberechtigt sind die öffentlichen Stellen und die Personen des Privatrechts, die das Ziel, von dem eine Abweichung zugelassen werden soll, nach § 4 zu beachten haben. Antragsberechtigt sind auch Personen des Privatrechts, deren beantragtes Vorhaben der Planfeststellung oder der Genehmigung mit der Rechtswirkung der Planfeststellung bedarf oder deren beantragtes Vorhaben nach § 4 Absatz 2 zu beurteilen ist. Die Bundesregierung berichtet dem Deutschen Bundestag bis zum 28. September 2024, welche Auswirkungen die Zielabweichungsverfahren nach den Sätzen 1 bis 3 auf die kommunale Planungshoheit haben.</w:t>
      </w:r>
    </w:p>
    <w:p>
      <w:r>
        <w:rPr>
          <w:color w:val="555555"/>
          <w:sz w:val="17"/>
        </w:rPr>
        <w:t xml:space="preserve">Zitiervorschlag: § 6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