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ROG 2008 — Beschränkung der Bindungswirkung nach § 4</w:t>
      </w:r>
    </w:p>
    <w:p>
      <w:r>
        <w:rPr>
          <w:color w:val="555555"/>
          <w:sz w:val="18"/>
        </w:rPr>
        <w:t xml:space="preserve">Raumordnungsgesetz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raumbedeutsamen Planungen und Maßnahmen von öffentlichen Stellen des Bundes, von anderen öffentlichen Stellen, die im Auftrag des Bundes tätig sind, sowie von Personen des Privatrechts nach § 4 Abs. 1 Satz 2, die für den Bund öffentliche Aufgaben durchführen, gilt die Bindungswirkung der Ziele der Raumordnung in Raumordnungsplänen nach § 13 Absatz 1 nur, wenn die zuständige Stelle oder Person bei der Aufstellung des Raumordnungsplans nach § 9 beteiligt worden ist und sie innerhalb einer Frist von zwei Monaten nach Mitteilung des rechtsverbindlichen Ziels nicht widersprochen hat.</w:t>
      </w:r>
    </w:p>
    <w:p>
      <w:r>
        <w:t xml:space="preserve">(2) Der Widerspruch nach Absatz 1 lässt die Bindungswirkung des Ziels der Raumordnung gegenüber der widersprechenden Stelle oder Person nicht entstehen, wenn</w:t>
      </w:r>
    </w:p>
    <w:p>
      <w:pPr>
        <w:ind w:left="420"/>
      </w:pPr>
      <w:r>
        <w:t xml:space="preserve">1. das ihre Belange berührende Ziel der Raumordnung auf einer fehlerhaften Abwägung beruht oder</w:t>
      </w:r>
    </w:p>
    <w:p>
      <w:pPr>
        <w:ind w:left="420"/>
      </w:pPr>
      <w:r>
        <w:t xml:space="preserve">2. sie ihre raumbedeutsamen Planungen und Maßnahmen nicht auf anderen geeigneten Flächen durchführen kann als auf denen, für die ein entgegenstehendes Ziel im Raumordnungsplan festgelegt wurde.</w:t>
      </w:r>
    </w:p>
    <w:p>
      <w:r>
        <w:t xml:space="preserve">(3) Macht eine Veränderung der Sachlage ein Abweichen von den Zielen der Raumordnung erforderlich, kann die Stelle oder Person nach Absatz 1 mit Zustimmung der nächsthöheren Behörde innerhalb angemessener Frist, spätestens sechs Monate ab Kenntnis der veränderten Sachlage, unter den Voraussetzungen von Absatz 2 nachträglich widersprechen. Muss infolge des nachträglichen Widerspruchs der Raumordnungsplan geändert, ergänzt oder aufgehoben werden, hat die widersprechende Stelle oder Person die dadurch entstehenden Kosten zu ersetzen.</w:t>
      </w:r>
    </w:p>
    <w:p>
      <w:r>
        <w:t xml:space="preserve">(4) Die Absätze 1 bis 3 gelten entsprechend für raumbedeutsame Planungen und Maßnahmen öffentlicher Stellen der Länder und der Träger der Regionalplanung hinsichtlich der Bindungswirkung der Ziele der Raumordnung in Raumordnungsplänen des Bundes nach § 17 Absatz 2.</w:t>
      </w:r>
    </w:p>
    <w:p>
      <w:r>
        <w:rPr>
          <w:color w:val="555555"/>
          <w:sz w:val="17"/>
        </w:rPr>
        <w:t xml:space="preserve">Zitiervorschlag: § 5 ROG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https://recht.nulegal.eu/gesetze/ROG%202008/5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