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ROG 2008 — Sonderregelung für die Windenergie an Land</w:t>
      </w:r>
    </w:p>
    <w:p>
      <w:r>
        <w:rPr>
          <w:color w:val="555555"/>
          <w:sz w:val="18"/>
        </w:rPr>
        <w:t xml:space="preserve">Raumordnungsgesetz</w:t>
      </w:r>
    </w:p>
    <w:p>
      <w:r>
        <w:rPr>
          <w:color w:val="555555"/>
          <w:sz w:val="18"/>
        </w:rPr>
        <w:t xml:space="preserve">Stand: 15.08.2025 (konsolidierte Textfassung, kein amtliches Inkrafttretensdatum)</w:t>
      </w:r>
    </w:p>
    <w:p>
      <w:r>
        <w:t xml:space="preserve">(1) Auf Windenergiegebiete nach § 2 Nummer 1 des Windenergieflächenbedarfsgesetzes sind vorrangig die §§ 245e und 249 des Baugesetzbuchs anzuwenden; § 7 Absatz 3 Satz 3 bis 5 ist nicht anzuwenden.</w:t>
      </w:r>
    </w:p>
    <w:p>
      <w:r>
        <w:t xml:space="preserve">(2) Vorranggebiete für Windenergie sind zusätzlich als Beschleunigungsgebiete für die Windenergie an Land auszuweisen, soweit sie nicht in einem der folgenden Gebiete liegen:</w:t>
      </w:r>
    </w:p>
    <w:p>
      <w:pPr>
        <w:ind w:left="420"/>
      </w:pPr>
      <w:r>
        <w:t xml:space="preserve">1. Natura 2000-Gebiete, Naturschutzgebiete, Nationalparke sowie Kern- und Pflegezonen von Biosphärenreservaten nach dem Bundesnaturschutzgesetz oder</w:t>
      </w:r>
    </w:p>
    <w:p>
      <w:pPr>
        <w:ind w:left="420"/>
      </w:pPr>
      <w:r>
        <w:t xml:space="preserve">2. Gebiete mit landesweit bedeutenden Vorkommen mindestens einer durch den Ausbau der Windenergie betroffenen europäischen Vogelart nach § 7 Absatz 2 Nummer 12 des Bundesnaturschutzgesetzes, einer in Anhang IV der Richtlinie 92/43/EWG aufgeführten Art oder einer Art, die in einer Rechtsverordnung nach § 54 Absatz 1 Nummer 2 des Bundesnaturschutzgesetzes aufgeführt ist; diese Gebiete können auf der Grundlage von vorhandenen Daten zu bekannten Artvorkommen oder zu besonders geeigneten Lebensräumen ermittelt werden.</w:t>
      </w:r>
    </w:p>
    <w:p>
      <w:r>
        <w:t xml:space="preserve">Eine in Satz 1 Nummer 2 genannte Art ist betroffen, wenn durch den Ausbau der Windenergie Verstöße gegen § 44 Absatz 1 Nummer 1 bis 3 des Bundesnaturschutzgesetzes zu erwarten sind. Besonders geeignete Lebensräume sind insbesondere die Lebensraumtypen nach Anhang I der Richtlinie 92/43/EWG, die für durch den Ausbau der Windenergie betroffene Arten als Habitate geeignet sind.</w:t>
      </w:r>
    </w:p>
    <w:p>
      <w:r>
        <w:t xml:space="preserve">(3) Die Länder können durch Landesgesetz bestimmen, dass es abweichend von der Verpflichtung in Absatz 2 Satz 1 im Ermessen der planaufstellenden Behörde steht, zusätzliche Vorranggebiete für Windenergie als Beschleunigungsgebiete auszuweisen, sobald und solange der Flächenbeitragswert nach der Anlage Spalte 2 des Windenergieflächenbedarfsgesetzes oder das jeweilige daraus abgeleitete Teilflächenziel nach § 3 Absatz 2 Satz 1 Nummer 2 oder Satz 2 des Windenergieflächenbedarfsgesetzes erreicht ist. § 6a des Windenergieflächenbedarfsgesetzes bleibt unberührt.</w:t>
      </w:r>
    </w:p>
    <w:p>
      <w:r>
        <w:t xml:space="preserve">(4) Bei der Ausweisung der Beschleunigungsgebiete sind Regeln für wirksame Minderungsmaßnahmen für die Errichtung und den Betrieb von Anlagen und deren Netzanschluss aufzustellen, um mögliche negative Auswirkungen vorrangiger Vorhaben zu vermeiden oder, falls dies nicht möglich ist, erheblich zu verringern. Auswirkungen nach Satz 1 sind nur Auswirkungen auf</w:t>
      </w:r>
    </w:p>
    <w:p>
      <w:pPr>
        <w:ind w:left="420"/>
      </w:pPr>
      <w:r>
        <w:t xml:space="preserve">1. Erhaltungsziele nach § 7 Absatz 1 Nummer 9 des Bundesnaturschutzgesetzes,</w:t>
      </w:r>
    </w:p>
    <w:p>
      <w:pPr>
        <w:ind w:left="420"/>
      </w:pPr>
      <w:r>
        <w:t xml:space="preserve">2. europäische Vogelarten nach § 7 Absatz 2 Nummer 12 des Bundesnaturschutzgesetzes, in Anhang IV der Richtlinie 92/43/EWG aufgeführte Arten oder Arten, die in einer Rechtsverordnung nach § 54 Absatz 1 Nummer 2 des Bundesnaturschutzgesetzes aufgeführt sind,</w:t>
      </w:r>
    </w:p>
    <w:p>
      <w:pPr>
        <w:ind w:left="420"/>
      </w:pPr>
      <w:r>
        <w:t xml:space="preserve">3. Bewirtschaftungsziele nach § 27 des Wasserhaushaltsgesetzes.</w:t>
      </w:r>
    </w:p>
    <w:p>
      <w:r>
        <w:t xml:space="preserve">Die Aufstellung von Regeln für Minderungsmaßnahmen kann entsprechend Anlage 3 erfolgen.</w:t>
      </w:r>
    </w:p>
    <w:p>
      <w:r>
        <w:t xml:space="preserve">(5) Die Ausweisung als Beschleunigungsgebiet und die Aufstellung von Regeln für Minderungsmaßnahmen erfolgen im Rahmen des Planaufstellungsverfahrens zur Festlegung der Vorranggebiete für Windenergie. Wurden die Planaufstellungsverfahren vor dem 15. August 2025 förmlich eingeleitet, kann die erforderliche Ausweisung von Beschleunigungsgebieten und die Aufstellung von Regeln für Minderungsmaßnahmen ausnahmsweise in einem nachfolgenden, innerhalb von drei Monaten förmlich einzuleitenden separaten Planungsverfahren erfolgen; in diesem Fall sind § 7 Absatz 5, die §§ 8, 9 Absatz 5 und die §§ 10 und 11 für Raumordnungspläne entsprechend anzuwenden.</w:t>
      </w:r>
    </w:p>
    <w:p>
      <w:r>
        <w:t xml:space="preserve">(6) Eine Verletzung der Vorschriften der Absätze 2 bis 5 über die zusätzliche Ausweisung als Beschleunigungsgebiet ist für die Rechtswirksamkeit des Vorranggebiets im Übrigen unbeachtlich.</w:t>
      </w:r>
    </w:p>
    <w:p>
      <w:r>
        <w:t xml:space="preserve">(7) Für Vorranggebiete für Windenergie, die nach Ablauf des 19. Mai 2024 und vor dem 15. August 2025 ausgewiesen worden sind, gelten die Absätze 2 bis 6 entsprechend.</w:t>
      </w:r>
    </w:p>
    <w:p>
      <w:r>
        <w:rPr>
          <w:color w:val="555555"/>
          <w:sz w:val="17"/>
        </w:rPr>
        <w:t xml:space="preserve">Zitiervorschlag: § 28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https://recht.nulegal.eu/gesetze/ROG%202008/28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