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ROG 2008 — Anwendungsvorschrift für die Raumordnung in den Ländern</w:t>
      </w:r>
    </w:p>
    <w:p>
      <w:r>
        <w:rPr>
          <w:color w:val="555555"/>
          <w:sz w:val="18"/>
        </w:rPr>
        <w:t xml:space="preserve">Raumordnungsgesetz</w:t>
      </w:r>
    </w:p>
    <w:p>
      <w:r>
        <w:rPr>
          <w:color w:val="555555"/>
          <w:sz w:val="18"/>
        </w:rPr>
        <w:t xml:space="preserve">Stand: 29.07.2026 (konsolidierte Textfassung, kein amtliches Inkrafttretensdatum)</w:t>
      </w:r>
    </w:p>
    <w:p>
      <w:r>
        <w:t xml:space="preserve">(1) Verfahren zur Aufstellung von Raumordnungsplänen nach § 13 sowie Raumordnungsverfahren, die nach § 15 in der bis zum 27. September 2023 geltenden Fassung förmlich eingeleitet wurden, werden nach den bis zum 27. September 2023 geltenden Raumordnungsgesetzen von Bund und Ländern abgeschlossen. Ist mit gesetzlich vorgeschriebenen einzelnen Schritten des Verfahrens noch nicht begonnen worden, können diese auch nach den Vorschriften dieses Gesetzes durchgeführt werden.</w:t>
      </w:r>
    </w:p>
    <w:p>
      <w:r>
        <w:t xml:space="preserve">(2) § 11 ist auch auf Raumordnungspläne der Länder anzuwenden, die vor dem 28. September 2023 in Kraft getreten sind. Weiter gehende landesrechtliche Regelungen zur Unbeachtlichkeit von Fehlern bei der Planaufstellung oder durch Fristablauf bleiben unberührt. Auf Raumordnungspläne, die vor dem 28. September 2023 in Kraft getreten sind, findet § 11 Absatz 2 in der bis zum 27. September 2023 geltenden Fassung weiterhin Anwendung.</w:t>
      </w:r>
    </w:p>
    <w:p>
      <w:r>
        <w:t xml:space="preserve">(3) Am 28. September 2023 geltendes Landesrecht, das § 2 Absatz 2, die §§ 6 bis 12 oder die Vorschriften des Abschnitts 2 dieses Gesetzes ergänzt, sowie landesrechtliche Gebührenregelungen und weiter gehendes Landesrecht zur Beschleunigung des Verfahrens bei Änderung eines ausgelegten Raumordnungsplanentwurfs bleiben unberührt.</w:t>
      </w:r>
    </w:p>
    <w:p>
      <w:r>
        <w:t xml:space="preserve">(4) Für vor dem 29. Juli 2026 eingeleitete Raumverträglichkeitsprüfungen gilt § 16 Absatz 2 Satz 3 nicht.</w:t>
      </w:r>
    </w:p>
    <w:p>
      <w:r>
        <w:rPr>
          <w:color w:val="555555"/>
          <w:sz w:val="17"/>
        </w:rPr>
        <w:t xml:space="preserve">Zitiervorschlag: § 27 ROG 2008</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