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ROG 2008 — Beteiligung bei der Aufstellung von Raumordnungsplänen der Nachbarstaaten</w:t>
      </w:r>
    </w:p>
    <w:p>
      <w:r>
        <w:rPr>
          <w:color w:val="555555"/>
          <w:sz w:val="18"/>
        </w:rPr>
        <w:t xml:space="preserve">Raumordnungsgesetz</w:t>
      </w:r>
    </w:p>
    <w:p>
      <w:r>
        <w:rPr>
          <w:color w:val="555555"/>
          <w:sz w:val="18"/>
        </w:rPr>
        <w:t xml:space="preserve">Stand: 28.09.2023 (konsolidierte Textfassung, kein amtliches Inkrafttretensdatum)</w:t>
      </w:r>
    </w:p>
    <w:p>
      <w:r>
        <w:t xml:space="preserve">(1) Wird die Durchführung eines in einem Nachbarstaat vorgesehenen Raumordnungsplans voraussichtlich erhebliche Auswirkungen auf das angrenzende Plangebiet in der Bundesrepublik Deutschland haben, so ersucht diejenige deutsche Stelle, an deren Plangebiet der ausländische Raumordnungsplan angrenzt und die für einen gleichartigen Raumordnungsplan in Deutschland zuständig wäre, die zuständige Behörde des Nachbarstaates um Unterlagen über den Raumordnungsplan, insbesondere um eine Beschreibung des Planinhalts und um Angaben über grenzüberschreitende Auswirkungen des Plans.</w:t>
      </w:r>
    </w:p>
    <w:p>
      <w:r>
        <w:t xml:space="preserve">(2) Hält die deutsche Stelle nach Absatz 1 eine Beteiligung für erforderlich, so teilt sie dies der zuständigen Behörde des Nachbarstaates mit und ersucht, soweit erforderlich, um weitere Angaben zum Raumordnungsplan. Sodann unterrichtet sie die in ihren Belangen berührten öffentlichen Stellen und die Öffentlichkeit, gibt ihnen Gelegenheit zur Einsichtnahme in die Unterlagen und weist, sofern sie nicht die Abgabe einer einheitlichen Stellungnahme für angezeigt hält, darauf hin, welcher Behörde des Nachbarstaates innerhalb welcher Frist eine Stellungnahme zugeleitet werden kann. Die deutsche Stelle nach Absatz 1 gibt der zuständigen Behörde des Nachbarstaates zudem alle ihr vorliegenden Informationen, die für die Aufstellung des Raumordnungsplans bedeutsam sein können.</w:t>
      </w:r>
    </w:p>
    <w:p>
      <w:r>
        <w:t xml:space="preserve">(3) Grenzt das Plangebiet eines ausländischen Raumordnungsplans an die deutsche ausschließliche Wirtschaftszone an, so ist im Hinblick auf die dortigen Auswirkungen die für das Beteiligungsverfahren zuständige deutsche Stelle das Bundesministerium für Wohnen, Stadtentwicklung und Bauwesen.</w:t>
      </w:r>
    </w:p>
    <w:p>
      <w:r>
        <w:rPr>
          <w:color w:val="555555"/>
          <w:sz w:val="17"/>
        </w:rPr>
        <w:t xml:space="preserve">Zitiervorschlag: § 25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