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ROG 2008 — Beirat für Raumentwicklung</w:t>
      </w:r>
    </w:p>
    <w:p>
      <w:r>
        <w:rPr>
          <w:color w:val="555555"/>
          <w:sz w:val="18"/>
        </w:rPr>
        <w:t xml:space="preserve">Raumordnungsgesetz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Der Beirat für Raumentwicklung hat die Aufgabe, das Bundesministerium für Wohnen, Stadtentwicklung und Bauwesen in Grundsatzfragen der räumlichen Entwicklung zu beraten.</w:t>
      </w:r>
    </w:p>
    <w:p>
      <w:r>
        <w:t xml:space="preserve">(2) Das Bundesministerium für Wohnen, Stadtentwicklung und Bauwesen beruft in den Beirat Vertreter aus der Wissenschaft und der Praxis aus Bereichen mit relevanten Bezügen zur räumlichen Entwicklung des Bundesgebietes.</w:t>
      </w:r>
    </w:p>
    <w:p>
      <w:r>
        <w:rPr>
          <w:color w:val="555555"/>
          <w:sz w:val="17"/>
        </w:rPr>
        <w:t xml:space="preserve">Zitiervorschlag: § 23 ROG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https://recht.nulegal.eu/gesetze/ROG%202008/23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