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ROG 2008 — Ermächtigung zum Erlass von Rechtsverordnungen</w:t>
      </w:r>
    </w:p>
    <w:p>
      <w:r>
        <w:rPr>
          <w:color w:val="555555"/>
          <w:sz w:val="18"/>
        </w:rPr>
        <w:t xml:space="preserve">Raumordnungsgesetz</w:t>
      </w:r>
    </w:p>
    <w:p>
      <w:r>
        <w:rPr>
          <w:color w:val="555555"/>
          <w:sz w:val="18"/>
        </w:rPr>
        <w:t xml:space="preserve">Stand: 28.09.2023 (konsolidierte Textfassung, kein amtliches Inkrafttretensdatum)</w:t>
      </w:r>
    </w:p>
    <w:p>
      <w:r>
        <w:t xml:space="preserve">(1) Die Bundesregierung wird ermächtigt, durch Rechtsverordnung mit Zustimmung des Bundesrates Planungen und Maßnahmen zu bestimmen, für die eine Raumverträglichkeitsprüfung durchgeführt werden soll, wenn sie im Einzelfall raumbedeutsam sind und überörtliche Bedeutung haben.</w:t>
      </w:r>
    </w:p>
    <w:p>
      <w:r>
        <w:t xml:space="preserve">(2) Das Bundesministerium für Wohnen, Stadtentwicklung und Bauwesen wird ermächtigt, durch Rechtsverordnung die Bedeutung und Form der Planzeichen zu bestimmen, die für die Festlegungen in Raumordnungsplänen notwendig sind. Die Rechtsverordnung nach Satz 1 bedarf der Zustimmung des Bundesrates, wenn sie die Bedeutung und Form der Planzeichen bestimmt, die für Festlegungen in Raumordnungsplänen der Länder notwendig sind.</w:t>
      </w:r>
    </w:p>
    <w:p>
      <w:r>
        <w:rPr>
          <w:color w:val="555555"/>
          <w:sz w:val="17"/>
        </w:rPr>
        <w:t xml:space="preserve">Zitiervorschlag: § 21 ROG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https://recht.nulegal.eu/gesetze/ROG%202008/21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