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ROG 2008 — Beschleunigte Raumverträglichkeitsprüfung; Absehen von Raumverträglichkeitsprüfungen</w:t>
      </w:r>
    </w:p>
    <w:p>
      <w:r>
        <w:rPr>
          <w:color w:val="555555"/>
          <w:sz w:val="18"/>
        </w:rPr>
        <w:t xml:space="preserve">Raumordnungsgesetz</w:t>
      </w:r>
    </w:p>
    <w:p>
      <w:r>
        <w:rPr>
          <w:color w:val="555555"/>
          <w:sz w:val="18"/>
        </w:rPr>
        <w:t xml:space="preserve">Stand: 29.07.2026 (konsolidierte Textfassung, kein amtliches Inkrafttretensdatum)</w:t>
      </w:r>
    </w:p>
    <w:p>
      <w:r>
        <w:t xml:space="preserve">(1) Bei der Prüfung der Raumverträglichkeit raumbedeutsamer Planungen und Maßnahmen kann, soweit keine anderen Rechtsvorschriften entgegenstehen, auf die Beteiligung einzelner öffentlicher Stellen nach § 15 Absatz 3 Satz 1 und 10 verzichtet werden, wenn die raumbedeutsamen Auswirkungen dieser Planungen und Maßnahmen gering sind oder wenn für die Prüfung der Raumverträglichkeit erforderliche Stellungnahmen schon in einem anderen Verfahren abgegeben wurden (beschleunigte Raumverträglichkeitsprüfung). Die Frist nach § 15 Absatz 1 Satz 3 beträgt bei der beschleunigten Raumverträglichkeitsprüfung grundsätzlich drei Monate.</w:t>
      </w:r>
    </w:p>
    <w:p>
      <w:r>
        <w:t xml:space="preserve">(2) Von der Durchführung einer Raumverträglichkeitsprüfung soll bei solchen Planungen und Maßnahmen abgesehen werden, für die sichergestellt ist, dass ihre Raumverträglichkeit anderweitig geprüft wird. Die Landesregierungen können durch Rechtsverordnung regeln, welche Fälle die Durchführung einer Raumverträglichkeitsprüfung erübrigen. Für Vorhaben der Bundesfernstraße, der Bundeswasserstraße, der Schienenwege des Bundes, Straßenbahnen, für Gas- und Wasserstoffleitungen mit einem Durchmesser von mehr als 300 Millimetern sowie für Pumpspeicherkraftwerke und Magnetschwebebahnen wird keine Raumverträglichkeitsprüfung durchgeführt. Satz 3 gilt nicht, wenn die zuständige Raumordnungsbehörde im Benehmen mit der für Verkehr oder Pumpspeicherkraftwerke zuständigen obersten Landesbehörde innerhalb von vier Wochen nach Anzeige nach § 15 Absatz 4 Satz 2 widerspricht, soweit sie erwartet, dass das Vorhaben zu erheblichen raumbedeutsamen Konflikten mit den Erfordernissen der Raumordnung oder mit anderen raumbedeutsamen Planungen und Maßnahmen führen wird.</w:t>
      </w:r>
    </w:p>
    <w:p>
      <w:r>
        <w:rPr>
          <w:color w:val="555555"/>
          <w:sz w:val="17"/>
        </w:rPr>
        <w:t xml:space="preserve">Zitiervorschlag: § 16 ROG 2008</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