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RMVerblG</w:t>
      </w:r>
    </w:p>
    <w:p>
      <w:r>
        <w:rPr>
          <w:color w:val="555555"/>
          <w:sz w:val="18"/>
        </w:rPr>
        <w:t xml:space="preserve">Gesetz über Reichsmarkverbindlichkeiten zwischen Gebietskörperschaften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mit Wirkung vom 21. Juni 1948 in Kraft.</w:t>
      </w:r>
    </w:p>
    <w:p>
      <w:r>
        <w:rPr>
          <w:color w:val="555555"/>
          <w:sz w:val="17"/>
        </w:rPr>
        <w:t xml:space="preserve">Zitiervorschlag: § 5 RMVerblG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https://recht.nulegal.eu/gesetze/RMVerblG/5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