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RMVerblG</w:t>
      </w:r>
    </w:p>
    <w:p>
      <w:r>
        <w:rPr>
          <w:color w:val="555555"/>
          <w:sz w:val="18"/>
        </w:rPr>
        <w:t xml:space="preserve">Gesetz über Reichsmarkverbindlichkeiten zwischen Gebietskörperschaften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findet auf bereits erfüllte Verbindlichkeiten keine Anwendung.</w:t>
      </w:r>
    </w:p>
    <w:p>
      <w:r>
        <w:rPr>
          <w:color w:val="555555"/>
          <w:sz w:val="17"/>
        </w:rPr>
        <w:t xml:space="preserve">Zitiervorschlag: § 4 RMVerblG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https://recht.nulegal.eu/gesetze/RMVerblG/4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