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RMVerblG</w:t>
      </w:r>
    </w:p>
    <w:p>
      <w:r>
        <w:rPr>
          <w:color w:val="555555"/>
          <w:sz w:val="18"/>
        </w:rPr>
        <w:t xml:space="preserve">Gesetz über Reichsmarkverbindlichkeiten zwischen Gebietskörperschaften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Folgende Reichsmarkverbindlichkeiten zwischen Gebietskörperschaften erlöschen nicht:</w:t>
      </w:r>
    </w:p>
    <w:p>
      <w:pPr>
        <w:ind w:left="420"/>
      </w:pPr>
      <w:r>
        <w:t xml:space="preserve">a) Verbindlichkeiten aus Darlehen mit einer Laufzeit von mindestens einem Jahr, Anleihen und Wertpapieren, sowie alle sonstigen Verbindlichkeiten, wenn die Forderung der Gläubigerin durch Hypothek, Grund- oder Rentenschuld gesichert ist,</w:t>
      </w:r>
    </w:p>
    <w:p>
      <w:pPr>
        <w:ind w:left="420"/>
      </w:pPr>
      <w:r>
        <w:t xml:space="preserve">b) Verbindlichkeiten, die mit einer von der Gläubigerin nach dem 20. Juni 1948 Dritten gegenüber in Deutscher Mark zu erfüllenden Verbindlichkeit in unmittelbarem wirtschaftlichem Zusammenhang stehen,</w:t>
      </w:r>
    </w:p>
    <w:p>
      <w:pPr>
        <w:ind w:left="420"/>
      </w:pPr>
      <w:r>
        <w:t xml:space="preserve">c) Verbindlichkeiten, die mit einer der Schuldnerin gegen Dritte zustehenden nach dem 20. Juni 1948 zu erfüllenden Forderung in unmittelbarem wirtschaftlichem Zusammenhang stehen,</w:t>
      </w:r>
    </w:p>
    <w:p>
      <w:pPr>
        <w:ind w:left="420"/>
      </w:pPr>
      <w:r>
        <w:t xml:space="preserve">d) Verbindlichkeiten, die nach § 18 Abs. 1 des Umstellungsgesetzes umgestellt werden,</w:t>
      </w:r>
    </w:p>
    <w:p>
      <w:pPr>
        <w:ind w:left="420"/>
      </w:pPr>
      <w:r>
        <w:t xml:space="preserve">e) Verbindlichkeiten zwischen Ländern, die sich aus der Auflösung des Haushalts der britischen Zone ergeben.</w:t>
      </w:r>
    </w:p>
    <w:p>
      <w:r>
        <w:t xml:space="preserve">(2) Absatz 1 Buchstab a gilt nicht für Zinsen, Tilgungsraten und andere regelmäßig wiederkehrende Leistungen, die vor dem 21. Juni 1948 fällig geworden sind.</w:t>
      </w:r>
    </w:p>
    <w:p>
      <w:r>
        <w:rPr>
          <w:color w:val="555555"/>
          <w:sz w:val="17"/>
        </w:rPr>
        <w:t xml:space="preserve">Zitiervorschlag: § 2 RMVerblG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https://recht.nulegal.eu/gesetze/RMVerblG/2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