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RMVerblG</w:t>
      </w:r>
    </w:p>
    <w:p>
      <w:r>
        <w:rPr>
          <w:color w:val="555555"/>
          <w:sz w:val="18"/>
        </w:rPr>
        <w:t xml:space="preserve">Gesetz über Reichsmarkverbindlichkeiten zwischen Gebietskörperschaften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Reichsmarkverbindlichkeiten zwischen Ländern, Gemeinden und Gemeindeverbänden (Gebietskörperschaften) erlöschen, soweit sie vor dem 21. Juni 1948 fällig geworden sind.</w:t>
      </w:r>
    </w:p>
    <w:p>
      <w:r>
        <w:t xml:space="preserve">(2) Reichsmarkverbindlichkeiten aus Abgaben zwischen Gebietskörperschaften erlöschen ohne Rücksicht auf den Zeitpunkt der Fälligkeit.</w:t>
      </w:r>
    </w:p>
    <w:p>
      <w:r>
        <w:rPr>
          <w:color w:val="555555"/>
          <w:sz w:val="17"/>
        </w:rPr>
        <w:t xml:space="preserve">Zitiervorschlag: § 1 RMVerblG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https://recht.nulegal.eu/gesetze/RMVerblG/1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