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RMRatV (Bayern)</w:t>
      </w:r>
    </w:p>
    <w:p>
      <w:r>
        <w:rPr>
          <w:color w:val="555555"/>
          <w:sz w:val="18"/>
        </w:rPr>
        <w:t xml:space="preserve">Wahlverordnung für Rundfunkrat und Medienrat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</w:t>
      </w:r>
    </w:p>
    <w:p>
      <w:r>
        <w:rPr>
          <w:color w:val="555555"/>
          <w:sz w:val="17"/>
        </w:rPr>
        <w:t xml:space="preserve">Zitiervorschlag: Eingangsformel RMRatV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https://recht.nulegal.eu/gesetze/RMRatV/eingangsformel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