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RMRatV (Bayern) — Wahlen zum Medienrat</w:t>
      </w:r>
    </w:p>
    <w:p>
      <w:r>
        <w:rPr>
          <w:color w:val="555555"/>
          <w:sz w:val="18"/>
        </w:rPr>
        <w:t xml:space="preserve">Wahlverordnung für Rundfunkrat und Medienrat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Wahlen zum Medienrat gelten die §§ 1 bis 5 entsprechend. An die Stelle der Internetseite des Bayerischen Rundfunks tritt die Internetseite der Landeszentrale.</w:t>
      </w:r>
    </w:p>
    <w:p>
      <w:r>
        <w:rPr>
          <w:color w:val="555555"/>
          <w:sz w:val="17"/>
        </w:rPr>
        <w:t xml:space="preserve">Zitiervorschlag: § 6 RMRatV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https://recht.nulegal.eu/gesetze/RMRatV/6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