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RMRatV (Bayern) — Wahltermin, Ersatzbenennung</w:t>
      </w:r>
    </w:p>
    <w:p>
      <w:r>
        <w:rPr>
          <w:color w:val="555555"/>
          <w:sz w:val="18"/>
        </w:rPr>
        <w:t xml:space="preserve">Wahlverordnung für Rundfunkrat und Medienrat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Wahlen finden bis spätestens 31. Januar des jeweiligen Wahljahres statt.</w:t>
      </w:r>
    </w:p>
    <w:p>
      <w:r>
        <w:t xml:space="preserve">(2) Scheidet ein Mitglied während der Amtszeit aus, wird ein Nachfolger spätestens drei Monate nach dem Ausscheiden des bisherigen Mitglieds durch Wahl bestimmt.</w:t>
      </w:r>
    </w:p>
    <w:p>
      <w:r>
        <w:t xml:space="preserve">(3) Ist eine Wahl nicht spätestens drei Monate nach dem Wahltermin nach Abs. 1 oder Abs. 2 erfolgt, so kann auf Antrag des Bayerischen Rundfunks die Staatskanzlei einstweilen den jeweiligen Vertreter auf Grund von Vorschlägen der vertretungsberechtigten Organe der zur Wahl im jeweiligen Fall zugelassenen Organisationen bestimmen.</w:t>
      </w:r>
    </w:p>
    <w:p>
      <w:r>
        <w:rPr>
          <w:color w:val="555555"/>
          <w:sz w:val="17"/>
        </w:rPr>
        <w:t xml:space="preserve">Zitiervorschlag: § 3 RMRatV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https://recht.nulegal.eu/gesetze/RMRatV/3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