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RMDKStatusStV (Bayern) — Sperrtor bei Bug</w:t>
      </w:r>
    </w:p>
    <w:p>
      <w:r>
        <w:rPr>
          <w:color w:val="555555"/>
          <w:sz w:val="18"/>
        </w:rPr>
        <w:t xml:space="preserve">Staatsvertrag über den rechtlichen Status der Rhein-Main-Donau-Großschiffahrtstraße zwischen dem Main und Nürnberg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Sperrtor im linken Regnitzarm bei Bug gehört zur Bundeswasserstraße. Die Betriebsordnung wird im Einvernehmen zwischen dem Bund und Bayern aufgestellt.</w:t>
      </w:r>
    </w:p>
    <w:p>
      <w:r>
        <w:rPr>
          <w:color w:val="555555"/>
          <w:sz w:val="17"/>
        </w:rPr>
        <w:t xml:space="preserve">Zitiervorschlag: § 5 RMDKStatusStV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https://recht.nulegal.eu/gesetze/RMDKStatusStV/5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