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RMDKStatusStV (Bayern) — Aufhebung von Bundeswasserstraßen</w:t>
      </w:r>
    </w:p>
    <w:p>
      <w:r>
        <w:rPr>
          <w:color w:val="555555"/>
          <w:sz w:val="18"/>
        </w:rPr>
        <w:t xml:space="preserve">Staatsvertrag über den rechtlichen Status der Rhein-Main-Donau-Großschiffahrtstraße zwischen dem Main und Nürnberg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Folgende Strecken des Mains und der Regnitz verlieren die Eigenschaft als Bundeswasserstraße:</w:t>
      </w:r>
    </w:p>
    <w:p>
      <w:r>
        <w:t xml:space="preserve">1. der Werkkanal von seiner Abzweigung aus dem neuen Regnitzbett bis Regnitz-km 3,70 links,</w:t>
      </w:r>
    </w:p>
    <w:p>
      <w:r>
        <w:t xml:space="preserve">2. der linke Regnitzarm von Regnitz-km 3,70 rechts bis Regnitz-km 5,11 links,</w:t>
      </w:r>
    </w:p>
    <w:p>
      <w:r>
        <w:t xml:space="preserve">3. der rechte Regnitzarm von 170 m oberhalb der Brückenachse des Wehres Bamberg bis Regnitz-km 8,60 rechts,</w:t>
      </w:r>
    </w:p>
    <w:p>
      <w:r>
        <w:t xml:space="preserve">4. der Mühlgraben zwischen Regnitz-km 5,11 links und Regnitz-km 5,645,</w:t>
      </w:r>
    </w:p>
    <w:p>
      <w:r>
        <w:t xml:space="preserve">5. der abgeschnittene frühere Regnitzbogen nördlich der Großschiffahrtsstraße zwischen deren km 2,0 und 3,5.</w:t>
      </w:r>
    </w:p>
    <w:p>
      <w:r>
        <w:rPr>
          <w:color w:val="555555"/>
          <w:sz w:val="17"/>
        </w:rPr>
        <w:t xml:space="preserve">Zitiervorschlag: § 2 RMDKStatusStV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https://recht.nulegal.eu/gesetze/RMDKStatusStV/2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