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RLSV (Brandenburg) — Inkrafttreten</w:t>
      </w:r>
    </w:p>
    <w:p>
      <w:r>
        <w:rPr>
          <w:color w:val="555555"/>
          <w:sz w:val="18"/>
        </w:rPr>
        <w:t xml:space="preserve">Regionalleitstellenverordnung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Diese Verordnung tritt am Tage nach der Verkündung in Kraft.</w:t>
      </w:r>
    </w:p>
    <w:p>
      <w:r>
        <w:t xml:space="preserve">Potsdam, den 16. Mai 2007</w:t>
      </w:r>
    </w:p>
    <w:p>
      <w:r>
        <w:t xml:space="preserve">Der Minister des Innern</w:t>
      </w:r>
    </w:p>
    <w:p>
      <w:r>
        <w:t xml:space="preserve">Jörg Schönbohm</w:t>
      </w:r>
    </w:p>
    <w:p>
      <w:r>
        <w:rPr>
          <w:color w:val="555555"/>
          <w:sz w:val="17"/>
        </w:rPr>
        <w:t xml:space="preserve">Zitiervorschlag: § 4 RLSV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https://recht.nulegal.eu/gesetze/RLSV/4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