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RLSV (Brandenburg) — Bildung und Standorte der Regionalleitstellen</w:t>
      </w:r>
    </w:p>
    <w:p>
      <w:r>
        <w:rPr>
          <w:color w:val="555555"/>
          <w:sz w:val="18"/>
        </w:rPr>
        <w:t xml:space="preserve">Regionalleitstellenverordnung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kreisfreien Städte und die Landkreise schließen die vorhandenen integrierten Leitstellen, die aus Feuerwehr-, Rettungs- und Katastrophenschutzleitstellen bestehen, zu fünf Regionalleitstellen zusammen. Die Regionalleitstellen nehmen ihre Arbeit spätestens zum 31. Dezember 2010 auf.</w:t>
      </w:r>
    </w:p>
    <w:p>
      <w:r>
        <w:t xml:space="preserve">(2) Die Regionalleitstellen haben ihre Standorte in der Stadt Brandenburg an der Havel, der Stadt Cottbus, der Großen kreisangehörigen Stadt Eberswalde, der Stadt Frankfurt (Oder) und der Landeshauptstadt Potsdam.</w:t>
      </w:r>
    </w:p>
    <w:p>
      <w:r>
        <w:rPr>
          <w:color w:val="555555"/>
          <w:sz w:val="17"/>
        </w:rPr>
        <w:t xml:space="preserve">Zitiervorschlag: § 1 RLSV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https://recht.nulegal.eu/gesetze/RLSV/1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