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III. RKIZustAnO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Robert Koch-Instituts in Angelegenheiten nach dem Bundesreisekostengesetz und dem Bundesumzugskostengesetz einschließlich der hierzu ergangenen 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ist für das Robert Koch-Institut mit Wirkung vom 1. September 2005 anzuwenden.</w:t>
      </w:r>
    </w:p>
    <w:p>
      <w:r>
        <w:rPr>
          <w:color w:val="555555"/>
          <w:sz w:val="17"/>
        </w:rPr>
        <w:t xml:space="preserve">Zitiervorschlag: III. RKIZustAnO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https://recht.nulegal.eu/gesetze/RKIZustAnO/iii.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III. RKIZustAnO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