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RHmV 1994 — (zu § 1 Abs. 2 bis 4)</w:t>
      </w:r>
    </w:p>
    <w:p>
      <w:r>
        <w:rPr>
          <w:color w:val="555555"/>
          <w:sz w:val="18"/>
        </w:rPr>
        <w:t xml:space="preserve">Rückstands-Höchstmengenverordnung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Liste A und B Fundstelle des Originaltextes: BGBl. I 1999, 2131 - 2137; bzgl. der einzelnen Änderungen vgl. Fußnote)</w:t>
      </w:r>
    </w:p>
    <w:p>
      <w:r>
        <w:rPr>
          <w:color w:val="555555"/>
          <w:sz w:val="17"/>
        </w:rPr>
        <w:t xml:space="preserve">Zitiervorschlag: Anlage 4 RHmV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https://recht.nulegal.eu/gesetze/RHmV%201994/anlage-4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RHmV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