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RHmV 1994 — Straftaten und Ordnungswidrigkeiten</w:t>
      </w:r>
    </w:p>
    <w:p>
      <w:r>
        <w:rPr>
          <w:color w:val="555555"/>
          <w:sz w:val="18"/>
        </w:rPr>
        <w:t xml:space="preserve">Rückstands-Höchstmengenverordnung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Nach § 59 Abs. 1 Nr. 21 Buchstabe a des Lebensmittel- und Futtermittelgesetzbuches wird bestraft, wer entgegen § 3b Abs. 1 bei der gewerbsmäßigen Abgabe von Lebensmitteln an den Verbraucher den Gehalt des Stoffes nicht, nicht richtig, nicht vollständig oder nicht in der vorgeschriebenen Weise kenntlich macht.</w:t>
      </w:r>
    </w:p>
    <w:p>
      <w:r>
        <w:t xml:space="preserve">(2) Nach § 59 Abs. 1 Nr. 21 Buchstabe b des Lebensmittel- und Futtermittelgesetzbuches wird bestraft, wer entgegen § 1 Abs. 6 Satz 1, auch in Verbindung mit § 2, Lebensmittel in den Verkehr bringt.</w:t>
      </w:r>
    </w:p>
    <w:p>
      <w:r>
        <w:t xml:space="preserve">(3) Wer eine in Absatz 1 oder 2 bezeichnete Handlung fahrlässig begeht, handelt nach § 60 Abs. 1 des Lebensmittel- und Futtermittelgesetzbuches ordnungswidrig.</w:t>
      </w:r>
    </w:p>
    <w:p>
      <w:r>
        <w:t xml:space="preserve">(4) Ordnungswidrig im Sinne des § 60 Abs. 2 Nr. 26 Buchstabe a des Lebensmittel- und Futtermittelgesetzbuches handelt, wer vorsätzlich oder fahrlässig entgegen § 3 Abs. 4 Lebensmittel nicht oder nicht in der vorgeschriebenen Weise kenntlich macht.</w:t>
      </w:r>
    </w:p>
    <w:p>
      <w:r>
        <w:rPr>
          <w:color w:val="555555"/>
          <w:sz w:val="17"/>
        </w:rPr>
        <w:t xml:space="preserve">Zitiervorschlag: § 5 RHmV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https://recht.nulegal.eu/gesetze/RHmV%201994/5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