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RHiVtrCANG</w:t>
      </w:r>
    </w:p>
    <w:p>
      <w:r>
        <w:rPr>
          <w:color w:val="555555"/>
          <w:sz w:val="18"/>
        </w:rPr>
        <w:t xml:space="preserve">Gesetz zu dem Vertrag vom 13. Mai 2002 zwischen der Bundesrepublik Deutschland und Kanada über die Rechtshilfe in Strafsachen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in Tremblant am 13. Mai 2002 unterzeichneten Vertrag zwischen der Bundesrepublik Deutschland und Kanada über die Rechtshilfe in Strafsachen wird zugestimmt. Der Vertrag wird nachstehend veröffentlicht.</w:t>
      </w:r>
    </w:p>
    <w:p>
      <w:r>
        <w:rPr>
          <w:color w:val="555555"/>
          <w:sz w:val="17"/>
        </w:rPr>
        <w:t xml:space="preserve">Zitiervorschlag: Art 1 RHiVtrCANG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https://recht.nulegal.eu/gesetze/RHiVtrCANG/1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