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(XXXX) RHiGRCAbkBek</w:t>
      </w:r>
    </w:p>
    <w:p>
      <w:r>
        <w:rPr>
          <w:color w:val="555555"/>
          <w:sz w:val="18"/>
        </w:rPr>
        <w:t xml:space="preserve">Bekanntmachung über das deutsch-griechische Abkommen über die gegenseitige Rechtshilfe in Angelegenheiten des bürgerlichen und Handels-Rechts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...</w:t>
      </w:r>
    </w:p>
    <w:p>
      <w:r>
        <w:t xml:space="preserve">(2) ... Das Abkommen tritt gemäß seinem Artikel 29 Abs. 3 am 17. Juli 1939 in Kraft.</w:t>
      </w:r>
    </w:p>
    <w:p>
      <w:r>
        <w:t xml:space="preserve">(3) Zur Ausführung des Abkommens ist die Verordnung vom 31. Mai 1939 zur Ausführung des deutsch-griechischen Abkommens über die gegenseitige Rechtshilfe in Angelegenheiten des bürgerlichen und Handels-Rechts (Reichsgesetzbl. II S. 847) erlassen worden.</w:t>
      </w:r>
    </w:p>
    <w:p>
      <w:r>
        <w:rPr>
          <w:color w:val="555555"/>
          <w:sz w:val="17"/>
        </w:rPr>
        <w:t xml:space="preserve">Zitiervorschlag: (XXXX) RHiGRCAbkBek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https://recht.nulegal.eu/gesetze/RHiGRCAbkBek/(xxxx)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