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RHiGRCAbkAV</w:t>
      </w:r>
    </w:p>
    <w:p>
      <w:r>
        <w:rPr>
          <w:color w:val="555555"/>
          <w:sz w:val="18"/>
        </w:rPr>
        <w:t xml:space="preserve">Verordnung zur Ausführung des deutsch-griechischen Abkommens über die gegenseitige Rechtshilfe in Angelegenheiten des bürgerlichen und Handels-Rechts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Artikels 4 Satz 2 des Gesetzes zur Behebung der Not von Volk und Reich vom 24. März 1933 (Reichsgesetzbl. 1933 I S. 141; 1939 I S. 95) wird zur Ausführung des deutsch-griechischen Abkommens über die gegenseitige Rechtshilfe in Angelegenheiten des bürgerlichen und Handels-Rechts vom 11. Mai 1938 (Reichsgesetzbl. 1939 II S. 849) folgendes verordnet:</w:t>
      </w:r>
    </w:p>
    <w:p>
      <w:r>
        <w:rPr>
          <w:color w:val="555555"/>
          <w:sz w:val="17"/>
        </w:rPr>
        <w:t xml:space="preserve">Zitiervorschlag: Eingangsformel RHiGRCAbkAV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https://recht.nulegal.eu/gesetze/RHiGRCAbkAV/eingangsformel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