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RHiGRCAbkAV</w:t>
      </w:r>
    </w:p>
    <w:p>
      <w:r>
        <w:rPr>
          <w:color w:val="555555"/>
          <w:sz w:val="18"/>
        </w:rPr>
        <w:t xml:space="preserve">Verordnung zur Ausführung des deutsch-griechischen Abkommens über die gegenseitige Rechtshilfe in Angelegenheiten des bürgerlichen und Handels-Rechts</w:t>
      </w:r>
    </w:p>
    <w:p>
      <w:r>
        <w:rPr>
          <w:color w:val="555555"/>
          <w:sz w:val="18"/>
        </w:rPr>
        <w:t xml:space="preserve">Stand: 10.06.2019 (konsolidierte Textfassung, kein amtliches Inkrafttretensdatum)</w:t>
      </w:r>
    </w:p>
    <w:p>
      <w:r>
        <w:t xml:space="preserve">Ist der Antrag auf Vollstreckbarerklärung auf diplomatischem Wege gestellt, so hat das Amtsgericht eine von Amts wegen zu erteilende Ausfertigung seines Beschlusses dem Bundesministerium der Justiz und für Verbraucherschutz einzureichen; die Ausfertigung ist, falls dem Antrag stattgegeben wird, mit der Vollstreckungsklausel zu versehen. Ist der Antrag auf Vollstreckbarerklärung durch die beteiligte Partei unmittelbar gestellt worden, so ist der Beschluß beiden Teilen von Amts wegen zuzustellen.</w:t>
      </w:r>
    </w:p>
    <w:p>
      <w:r>
        <w:rPr>
          <w:color w:val="555555"/>
          <w:sz w:val="17"/>
        </w:rPr>
        <w:t xml:space="preserve">Zitiervorschlag: § 5 RHiGRCAbkAV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https://recht.nulegal.eu/gesetze/RHiGRCAbkAV/5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